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63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From: </w:t>
      </w:r>
      <w:r w:rsidRPr="008B063C">
        <w:rPr>
          <w:rFonts w:ascii="Times New Roman" w:hAnsi="Times New Roman" w:cs="Times New Roman"/>
          <w:color w:val="000000"/>
          <w:sz w:val="20"/>
          <w:szCs w:val="20"/>
        </w:rPr>
        <w:tab/>
        <w:t>"Will Savage" &lt;wsavage@acorn-engineering.com&gt;</w:t>
      </w: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63C">
        <w:rPr>
          <w:rFonts w:ascii="Times New Roman" w:hAnsi="Times New Roman" w:cs="Times New Roman"/>
          <w:b/>
          <w:bCs/>
          <w:color w:val="000000"/>
          <w:sz w:val="20"/>
          <w:szCs w:val="20"/>
        </w:rPr>
        <w:t>To:</w:t>
      </w:r>
      <w:r w:rsidRPr="008B063C">
        <w:rPr>
          <w:rFonts w:ascii="Times New Roman" w:hAnsi="Times New Roman" w:cs="Times New Roman"/>
          <w:color w:val="000000"/>
          <w:sz w:val="20"/>
          <w:szCs w:val="20"/>
        </w:rPr>
        <w:tab/>
        <w:t>"'Jean Fraser'" &lt;JF@portlandmaine.gov&gt;</w:t>
      </w: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63C">
        <w:rPr>
          <w:rFonts w:ascii="Times New Roman" w:hAnsi="Times New Roman" w:cs="Times New Roman"/>
          <w:b/>
          <w:bCs/>
          <w:color w:val="000000"/>
          <w:sz w:val="20"/>
          <w:szCs w:val="20"/>
        </w:rPr>
        <w:t>CC:</w:t>
      </w:r>
      <w:r w:rsidRPr="008B063C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"Dan </w:t>
      </w:r>
      <w:proofErr w:type="spellStart"/>
      <w:r w:rsidRPr="008B063C">
        <w:rPr>
          <w:rFonts w:ascii="Times New Roman" w:hAnsi="Times New Roman" w:cs="Times New Roman"/>
          <w:color w:val="000000"/>
          <w:sz w:val="20"/>
          <w:szCs w:val="20"/>
        </w:rPr>
        <w:t>Remick</w:t>
      </w:r>
      <w:proofErr w:type="spellEnd"/>
      <w:r w:rsidRPr="008B063C">
        <w:rPr>
          <w:rFonts w:ascii="Times New Roman" w:hAnsi="Times New Roman" w:cs="Times New Roman"/>
          <w:color w:val="000000"/>
          <w:sz w:val="20"/>
          <w:szCs w:val="20"/>
        </w:rPr>
        <w:t>" &lt;dremick@eldredgelumber.com&gt;</w:t>
      </w: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63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Date: </w:t>
      </w:r>
      <w:r w:rsidRPr="008B063C">
        <w:rPr>
          <w:rFonts w:ascii="Times New Roman" w:hAnsi="Times New Roman" w:cs="Times New Roman"/>
          <w:color w:val="000000"/>
          <w:sz w:val="20"/>
          <w:szCs w:val="20"/>
        </w:rPr>
        <w:tab/>
        <w:t>10/12/2012 12:32 PM</w:t>
      </w:r>
      <w:bookmarkStart w:id="0" w:name="_GoBack"/>
      <w:bookmarkEnd w:id="0"/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63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Subject: </w:t>
      </w:r>
      <w:r w:rsidRPr="008B063C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RE: </w:t>
      </w:r>
      <w:proofErr w:type="spellStart"/>
      <w:r w:rsidRPr="008B063C">
        <w:rPr>
          <w:rFonts w:ascii="Times New Roman" w:hAnsi="Times New Roman" w:cs="Times New Roman"/>
          <w:color w:val="000000"/>
          <w:sz w:val="20"/>
          <w:szCs w:val="20"/>
        </w:rPr>
        <w:t>Eldredge</w:t>
      </w:r>
      <w:proofErr w:type="spellEnd"/>
      <w:r w:rsidRPr="008B063C">
        <w:rPr>
          <w:rFonts w:ascii="Times New Roman" w:hAnsi="Times New Roman" w:cs="Times New Roman"/>
          <w:color w:val="000000"/>
          <w:sz w:val="20"/>
          <w:szCs w:val="20"/>
        </w:rPr>
        <w:t xml:space="preserve"> Lumber Level II review</w:t>
      </w: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63C">
        <w:rPr>
          <w:rFonts w:ascii="Times New Roman" w:hAnsi="Times New Roman" w:cs="Times New Roman"/>
          <w:b/>
          <w:bCs/>
          <w:color w:val="000000"/>
          <w:sz w:val="20"/>
          <w:szCs w:val="20"/>
        </w:rPr>
        <w:t>Attachments:</w:t>
      </w:r>
      <w:r w:rsidRPr="008B063C">
        <w:rPr>
          <w:rFonts w:ascii="Times New Roman" w:hAnsi="Times New Roman" w:cs="Times New Roman"/>
          <w:color w:val="000000"/>
          <w:sz w:val="20"/>
          <w:szCs w:val="20"/>
        </w:rPr>
        <w:tab/>
        <w:t>MaineHistoricPreservation_Response.pdf.pdf; 12022_EldredgeTraff_2.pdf.pdf</w:t>
      </w: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B063C">
        <w:rPr>
          <w:rFonts w:ascii="Times New Roman" w:hAnsi="Times New Roman" w:cs="Times New Roman"/>
          <w:color w:val="000000"/>
        </w:rPr>
        <w:t>Hi Jean,</w:t>
      </w:r>
    </w:p>
    <w:p w:rsid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B063C">
        <w:rPr>
          <w:rFonts w:ascii="Times New Roman" w:hAnsi="Times New Roman" w:cs="Times New Roman"/>
          <w:color w:val="000000"/>
        </w:rPr>
        <w:t>I just received the response from Eaton Traffic Engineering. Please refer to</w:t>
      </w: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8B063C">
        <w:rPr>
          <w:rFonts w:ascii="Times New Roman" w:hAnsi="Times New Roman" w:cs="Times New Roman"/>
          <w:color w:val="000000"/>
        </w:rPr>
        <w:t>my</w:t>
      </w:r>
      <w:proofErr w:type="gramEnd"/>
      <w:r w:rsidRPr="008B063C">
        <w:rPr>
          <w:rFonts w:ascii="Times New Roman" w:hAnsi="Times New Roman" w:cs="Times New Roman"/>
          <w:color w:val="000000"/>
        </w:rPr>
        <w:t xml:space="preserve"> response to comments below. </w:t>
      </w: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B063C">
        <w:rPr>
          <w:rFonts w:ascii="Times New Roman" w:hAnsi="Times New Roman" w:cs="Times New Roman"/>
          <w:color w:val="000000"/>
        </w:rPr>
        <w:t>Response 1:</w:t>
      </w: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B063C">
        <w:rPr>
          <w:rFonts w:ascii="Times New Roman" w:hAnsi="Times New Roman" w:cs="Times New Roman"/>
          <w:color w:val="000000"/>
        </w:rPr>
        <w:t xml:space="preserve">Please refer to the attached response from Eaton Traffic Engineering. </w:t>
      </w: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B063C">
        <w:rPr>
          <w:rFonts w:ascii="Times New Roman" w:hAnsi="Times New Roman" w:cs="Times New Roman"/>
          <w:color w:val="000000"/>
        </w:rPr>
        <w:t xml:space="preserve"> </w:t>
      </w:r>
    </w:p>
    <w:p w:rsidR="008B063C" w:rsidRDefault="008B063C" w:rsidP="008B06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B063C">
        <w:rPr>
          <w:rFonts w:ascii="Times New Roman" w:eastAsia="Times New Roman" w:hAnsi="Times New Roman" w:cs="Times New Roman"/>
        </w:rPr>
        <w:t>Response 2:</w:t>
      </w:r>
    </w:p>
    <w:p w:rsidR="008B063C" w:rsidRPr="008B063C" w:rsidRDefault="008B063C" w:rsidP="008B06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B063C" w:rsidRDefault="008B063C" w:rsidP="008B06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B063C">
        <w:rPr>
          <w:rFonts w:ascii="Times New Roman" w:eastAsia="Times New Roman" w:hAnsi="Times New Roman" w:cs="Times New Roman"/>
        </w:rPr>
        <w:t>Two additional spaces will be added to the west of the spaces depicted adjacent to the office/retail building. Given buildings 3,4 and 5 (open lumber storage buildings) do not meet the Sec. 14-47 “floor area” definition the off-street parking requirement set forth within Section 14-332.4(l) may not apply. Therefore at my discretion a 50% reduction was applied to meet the intent of the zoning requirement. This meets the clients parking demand and I believe is reasonable. Based upon my calculations the parking meets or exceeds the zoning requirements.</w:t>
      </w:r>
    </w:p>
    <w:p w:rsidR="008B063C" w:rsidRPr="008B063C" w:rsidRDefault="008B063C" w:rsidP="008B06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B063C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30" w:type="dxa"/>
        <w:tblInd w:w="-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1284"/>
        <w:gridCol w:w="1665"/>
        <w:gridCol w:w="1665"/>
        <w:gridCol w:w="4072"/>
      </w:tblGrid>
      <w:tr w:rsidR="008B063C" w:rsidRPr="008B063C" w:rsidTr="008B063C">
        <w:trPr>
          <w:trHeight w:val="288"/>
        </w:trPr>
        <w:tc>
          <w:tcPr>
            <w:tcW w:w="10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06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Parking Summary - 165 </w:t>
            </w:r>
            <w:proofErr w:type="spellStart"/>
            <w:r w:rsidRPr="008B063C">
              <w:rPr>
                <w:rFonts w:ascii="Calibri" w:eastAsia="Times New Roman" w:hAnsi="Calibri" w:cs="Calibri"/>
                <w:b/>
                <w:bCs/>
                <w:color w:val="000000"/>
              </w:rPr>
              <w:t>Presumpscot</w:t>
            </w:r>
            <w:proofErr w:type="spellEnd"/>
            <w:r w:rsidRPr="008B06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Street</w:t>
            </w:r>
          </w:p>
        </w:tc>
      </w:tr>
      <w:tr w:rsidR="008B063C" w:rsidRPr="008B063C" w:rsidTr="008B063C">
        <w:trPr>
          <w:trHeight w:val="288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*Floor Area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Parking Spaces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Parking Spaces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Comments</w:t>
            </w:r>
          </w:p>
        </w:tc>
      </w:tr>
      <w:tr w:rsidR="008B063C" w:rsidRPr="008B063C" w:rsidTr="008B063C">
        <w:trPr>
          <w:trHeight w:val="288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SF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Required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Provided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063C" w:rsidRPr="008B063C" w:rsidTr="008B063C">
        <w:trPr>
          <w:trHeight w:val="288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Retail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2,200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 xml:space="preserve">1 space per 200 </w:t>
            </w:r>
            <w:proofErr w:type="spellStart"/>
            <w:r w:rsidRPr="008B063C">
              <w:rPr>
                <w:rFonts w:ascii="Calibri" w:eastAsia="Times New Roman" w:hAnsi="Calibri" w:cs="Calibri"/>
                <w:color w:val="000000"/>
              </w:rPr>
              <w:t>sf</w:t>
            </w:r>
            <w:proofErr w:type="spellEnd"/>
            <w:r w:rsidRPr="008B063C">
              <w:rPr>
                <w:rFonts w:ascii="Calibri" w:eastAsia="Times New Roman" w:hAnsi="Calibri" w:cs="Calibri"/>
                <w:color w:val="000000"/>
              </w:rPr>
              <w:t xml:space="preserve"> in excess of 2,000 </w:t>
            </w:r>
            <w:proofErr w:type="spellStart"/>
            <w:r w:rsidRPr="008B063C">
              <w:rPr>
                <w:rFonts w:ascii="Calibri" w:eastAsia="Times New Roman" w:hAnsi="Calibri" w:cs="Calibri"/>
                <w:color w:val="000000"/>
              </w:rPr>
              <w:t>sf</w:t>
            </w:r>
            <w:proofErr w:type="spellEnd"/>
          </w:p>
        </w:tc>
      </w:tr>
      <w:tr w:rsidR="008B063C" w:rsidRPr="008B063C" w:rsidTr="008B063C">
        <w:trPr>
          <w:trHeight w:val="288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Office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571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 xml:space="preserve">1 space per 400 </w:t>
            </w:r>
            <w:proofErr w:type="spellStart"/>
            <w:r w:rsidRPr="008B063C">
              <w:rPr>
                <w:rFonts w:ascii="Calibri" w:eastAsia="Times New Roman" w:hAnsi="Calibri" w:cs="Calibri"/>
                <w:color w:val="000000"/>
              </w:rPr>
              <w:t>sf</w:t>
            </w:r>
            <w:proofErr w:type="spellEnd"/>
          </w:p>
        </w:tc>
      </w:tr>
      <w:tr w:rsidR="008B063C" w:rsidRPr="008B063C" w:rsidTr="008B063C">
        <w:trPr>
          <w:trHeight w:val="576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Sub-Total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2,771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Aggregate area within the office/retail building</w:t>
            </w:r>
          </w:p>
        </w:tc>
      </w:tr>
      <w:tr w:rsidR="008B063C" w:rsidRPr="008B063C" w:rsidTr="008B063C">
        <w:trPr>
          <w:trHeight w:val="288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063C" w:rsidRPr="008B063C" w:rsidTr="008B063C">
        <w:trPr>
          <w:trHeight w:val="288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Building 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3,143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Indoor lumber storage</w:t>
            </w:r>
          </w:p>
        </w:tc>
      </w:tr>
      <w:tr w:rsidR="008B063C" w:rsidRPr="008B063C" w:rsidTr="008B063C">
        <w:trPr>
          <w:trHeight w:val="288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Building 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8,483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Indoor lumber storage</w:t>
            </w:r>
          </w:p>
        </w:tc>
      </w:tr>
      <w:tr w:rsidR="008B063C" w:rsidRPr="008B063C" w:rsidTr="008B063C">
        <w:trPr>
          <w:trHeight w:val="288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**Building 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4,703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50% Reduction lumber storage - open 2 sides</w:t>
            </w:r>
          </w:p>
        </w:tc>
      </w:tr>
      <w:tr w:rsidR="008B063C" w:rsidRPr="008B063C" w:rsidTr="008B063C">
        <w:trPr>
          <w:trHeight w:val="288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**Building 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4,893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50% Reduction lumber storage - open 2 sides</w:t>
            </w:r>
          </w:p>
        </w:tc>
      </w:tr>
      <w:tr w:rsidR="008B063C" w:rsidRPr="008B063C" w:rsidTr="008B063C">
        <w:trPr>
          <w:trHeight w:val="288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**Building 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9,232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4.6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50% Reduction lumber storage - open 2 sides</w:t>
            </w:r>
          </w:p>
        </w:tc>
      </w:tr>
      <w:tr w:rsidR="008B063C" w:rsidRPr="008B063C" w:rsidTr="008B063C">
        <w:trPr>
          <w:trHeight w:val="864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Sub-Total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30,454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 xml:space="preserve">1 Space per 1,000 </w:t>
            </w:r>
            <w:proofErr w:type="spellStart"/>
            <w:r w:rsidRPr="008B063C">
              <w:rPr>
                <w:rFonts w:ascii="Calibri" w:eastAsia="Times New Roman" w:hAnsi="Calibri" w:cs="Calibri"/>
                <w:color w:val="000000"/>
              </w:rPr>
              <w:t>sf</w:t>
            </w:r>
            <w:proofErr w:type="spellEnd"/>
            <w:r w:rsidRPr="008B063C">
              <w:rPr>
                <w:rFonts w:ascii="Calibri" w:eastAsia="Times New Roman" w:hAnsi="Calibri" w:cs="Calibri"/>
                <w:color w:val="000000"/>
              </w:rPr>
              <w:t xml:space="preserve">, for the part of every business….not catering to retail trade and with </w:t>
            </w:r>
            <w:r w:rsidRPr="008B063C">
              <w:rPr>
                <w:rFonts w:ascii="Calibri" w:eastAsia="Times New Roman" w:hAnsi="Calibri" w:cs="Calibri"/>
                <w:color w:val="000000"/>
                <w:u w:val="single"/>
              </w:rPr>
              <w:t>floor area</w:t>
            </w:r>
            <w:r w:rsidRPr="008B063C">
              <w:rPr>
                <w:rFonts w:ascii="Calibri" w:eastAsia="Times New Roman" w:hAnsi="Calibri" w:cs="Calibri"/>
                <w:color w:val="000000"/>
              </w:rPr>
              <w:t xml:space="preserve"> over 3,000 sf. </w:t>
            </w:r>
          </w:p>
        </w:tc>
      </w:tr>
      <w:tr w:rsidR="008B063C" w:rsidRPr="008B063C" w:rsidTr="008B063C">
        <w:trPr>
          <w:trHeight w:val="288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063C" w:rsidRPr="008B063C" w:rsidTr="008B063C">
        <w:trPr>
          <w:trHeight w:val="288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Overall Total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 xml:space="preserve">Two additional spaces to be provided. </w:t>
            </w:r>
          </w:p>
        </w:tc>
      </w:tr>
      <w:tr w:rsidR="008B063C" w:rsidRPr="008B063C" w:rsidTr="008B063C">
        <w:trPr>
          <w:trHeight w:val="288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B063C" w:rsidRPr="008B063C" w:rsidTr="008B063C">
        <w:trPr>
          <w:trHeight w:val="576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ADA Space</w:t>
            </w:r>
          </w:p>
        </w:tc>
        <w:tc>
          <w:tcPr>
            <w:tcW w:w="12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0-25 Parking Spaces 1 ADA Van Accessible Space Required</w:t>
            </w:r>
          </w:p>
        </w:tc>
      </w:tr>
      <w:tr w:rsidR="008B063C" w:rsidRPr="008B063C" w:rsidTr="008B063C">
        <w:trPr>
          <w:trHeight w:val="288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B063C" w:rsidRPr="008B063C" w:rsidTr="008B063C">
        <w:trPr>
          <w:trHeight w:val="288"/>
        </w:trPr>
        <w:tc>
          <w:tcPr>
            <w:tcW w:w="1003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 xml:space="preserve">*Buildings 1-5 "Floor Area" based upon the buildings' roof surface area. </w:t>
            </w:r>
          </w:p>
        </w:tc>
      </w:tr>
      <w:tr w:rsidR="008B063C" w:rsidRPr="008B063C" w:rsidTr="008B063C">
        <w:trPr>
          <w:trHeight w:val="288"/>
        </w:trPr>
        <w:tc>
          <w:tcPr>
            <w:tcW w:w="1003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063C">
              <w:rPr>
                <w:rFonts w:ascii="Calibri" w:eastAsia="Times New Roman" w:hAnsi="Calibri" w:cs="Calibri"/>
                <w:color w:val="000000"/>
              </w:rPr>
              <w:t>** Building 3-5 does not meet the Land Use Sec. 14-47 Definitions for</w:t>
            </w:r>
            <w:r w:rsidRPr="008B063C">
              <w:rPr>
                <w:rFonts w:ascii="Calibri" w:eastAsia="Times New Roman" w:hAnsi="Calibri" w:cs="Calibri"/>
                <w:color w:val="000000"/>
                <w:u w:val="single"/>
              </w:rPr>
              <w:t xml:space="preserve"> Floor Area</w:t>
            </w:r>
            <w:r w:rsidRPr="008B063C">
              <w:rPr>
                <w:rFonts w:ascii="Calibri" w:eastAsia="Times New Roman" w:hAnsi="Calibri" w:cs="Calibri"/>
                <w:color w:val="000000"/>
              </w:rPr>
              <w:t xml:space="preserve"> 50% parking reduction applied. </w:t>
            </w:r>
          </w:p>
        </w:tc>
      </w:tr>
      <w:tr w:rsidR="008B063C" w:rsidRPr="008B063C" w:rsidTr="008B063C">
        <w:trPr>
          <w:trHeight w:val="300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63C" w:rsidRPr="008B063C" w:rsidRDefault="008B063C" w:rsidP="008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B063C" w:rsidRPr="008B063C" w:rsidRDefault="008B063C" w:rsidP="008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B063C">
        <w:rPr>
          <w:rFonts w:ascii="Times New Roman" w:eastAsia="Times New Roman" w:hAnsi="Times New Roman" w:cs="Times New Roman"/>
        </w:rPr>
        <w:lastRenderedPageBreak/>
        <w:t>Question 3:</w:t>
      </w:r>
    </w:p>
    <w:p w:rsidR="008B063C" w:rsidRPr="008B063C" w:rsidRDefault="008B063C" w:rsidP="008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B063C">
        <w:rPr>
          <w:rFonts w:ascii="Times New Roman" w:eastAsia="Times New Roman" w:hAnsi="Times New Roman" w:cs="Times New Roman"/>
        </w:rPr>
        <w:t xml:space="preserve">Everyone uses parcel 2 but currently only the HOLCIM property located on the other side of the tracks have legal rights to use Parcel 2 for access to their property. </w:t>
      </w:r>
      <w:proofErr w:type="spellStart"/>
      <w:r w:rsidRPr="008B063C">
        <w:rPr>
          <w:rFonts w:ascii="Times New Roman" w:eastAsia="Times New Roman" w:hAnsi="Times New Roman" w:cs="Times New Roman"/>
        </w:rPr>
        <w:t>Eldredge</w:t>
      </w:r>
      <w:proofErr w:type="spellEnd"/>
      <w:r w:rsidRPr="008B063C">
        <w:rPr>
          <w:rFonts w:ascii="Times New Roman" w:eastAsia="Times New Roman" w:hAnsi="Times New Roman" w:cs="Times New Roman"/>
        </w:rPr>
        <w:t xml:space="preserve"> is currently in negotiations with the party that has the Bourque property under contract to give them an easement.</w:t>
      </w:r>
    </w:p>
    <w:p w:rsidR="008B063C" w:rsidRPr="008B063C" w:rsidRDefault="008B063C" w:rsidP="008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B063C">
        <w:rPr>
          <w:rFonts w:ascii="Times New Roman" w:eastAsia="Times New Roman" w:hAnsi="Times New Roman" w:cs="Times New Roman"/>
        </w:rPr>
        <w:t>Question 4:</w:t>
      </w:r>
    </w:p>
    <w:p w:rsidR="008B063C" w:rsidRPr="008B063C" w:rsidRDefault="008B063C" w:rsidP="008B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B063C">
        <w:rPr>
          <w:rFonts w:ascii="Times New Roman" w:eastAsia="Times New Roman" w:hAnsi="Times New Roman" w:cs="Times New Roman"/>
        </w:rPr>
        <w:t xml:space="preserve">The majority of Parcel 2 (private road) is currently paved with asphalt. A high point </w:t>
      </w:r>
      <w:proofErr w:type="gramStart"/>
      <w:r w:rsidRPr="008B063C">
        <w:rPr>
          <w:rFonts w:ascii="Times New Roman" w:eastAsia="Times New Roman" w:hAnsi="Times New Roman" w:cs="Times New Roman"/>
        </w:rPr>
        <w:t>exist</w:t>
      </w:r>
      <w:proofErr w:type="gramEnd"/>
      <w:r w:rsidRPr="008B063C">
        <w:rPr>
          <w:rFonts w:ascii="Times New Roman" w:eastAsia="Times New Roman" w:hAnsi="Times New Roman" w:cs="Times New Roman"/>
        </w:rPr>
        <w:t xml:space="preserve"> near the entrance of the private road. The majority of the </w:t>
      </w:r>
      <w:proofErr w:type="spellStart"/>
      <w:r w:rsidRPr="008B063C">
        <w:rPr>
          <w:rFonts w:ascii="Times New Roman" w:eastAsia="Times New Roman" w:hAnsi="Times New Roman" w:cs="Times New Roman"/>
        </w:rPr>
        <w:t>stormwater</w:t>
      </w:r>
      <w:proofErr w:type="spellEnd"/>
      <w:r w:rsidRPr="008B063C">
        <w:rPr>
          <w:rFonts w:ascii="Times New Roman" w:eastAsia="Times New Roman" w:hAnsi="Times New Roman" w:cs="Times New Roman"/>
        </w:rPr>
        <w:t xml:space="preserve"> travels east via surface flow to an existing catch basin located beyond Parcel 2’s property line. There are no proposed changes. </w:t>
      </w: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B063C">
        <w:rPr>
          <w:rFonts w:ascii="Times New Roman" w:hAnsi="Times New Roman" w:cs="Times New Roman"/>
        </w:rPr>
        <w:t>I have also attached the response from the historic preservation commission</w:t>
      </w: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8B063C">
        <w:rPr>
          <w:rFonts w:ascii="Times New Roman" w:hAnsi="Times New Roman" w:cs="Times New Roman"/>
        </w:rPr>
        <w:t>for</w:t>
      </w:r>
      <w:proofErr w:type="gramEnd"/>
      <w:r w:rsidRPr="008B063C">
        <w:rPr>
          <w:rFonts w:ascii="Times New Roman" w:hAnsi="Times New Roman" w:cs="Times New Roman"/>
        </w:rPr>
        <w:t xml:space="preserve"> your records. </w:t>
      </w: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8B063C">
        <w:rPr>
          <w:rFonts w:ascii="Times New Roman" w:hAnsi="Times New Roman" w:cs="Times New Roman"/>
        </w:rPr>
        <w:t>Thank</w:t>
      </w:r>
      <w:r w:rsidRPr="008B063C">
        <w:rPr>
          <w:rFonts w:ascii="Times New Roman" w:hAnsi="Times New Roman" w:cs="Times New Roman"/>
        </w:rPr>
        <w:noBreakHyphen/>
        <w:t>you</w:t>
      </w:r>
      <w:proofErr w:type="spellEnd"/>
      <w:r w:rsidRPr="008B063C">
        <w:rPr>
          <w:rFonts w:ascii="Times New Roman" w:hAnsi="Times New Roman" w:cs="Times New Roman"/>
        </w:rPr>
        <w:t>,</w:t>
      </w: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B063C">
        <w:rPr>
          <w:rFonts w:ascii="Times New Roman" w:hAnsi="Times New Roman" w:cs="Times New Roman"/>
        </w:rPr>
        <w:t xml:space="preserve"> </w:t>
      </w: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B063C">
        <w:rPr>
          <w:rFonts w:ascii="Times New Roman" w:hAnsi="Times New Roman" w:cs="Times New Roman"/>
        </w:rPr>
        <w:noBreakHyphen/>
        <w:t>Will</w:t>
      </w:r>
    </w:p>
    <w:p w:rsidR="008B063C" w:rsidRPr="008B063C" w:rsidRDefault="008B063C" w:rsidP="008B063C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B063C" w:rsidRPr="008B063C" w:rsidRDefault="008B063C" w:rsidP="008B063C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</w:rPr>
      </w:pPr>
    </w:p>
    <w:p w:rsidR="006D6322" w:rsidRDefault="006D6322"/>
    <w:sectPr w:rsidR="006D6322" w:rsidSect="008B063C"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3C"/>
    <w:rsid w:val="006D6322"/>
    <w:rsid w:val="008B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502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2457</Characters>
  <Application>Microsoft Office Word</Application>
  <DocSecurity>0</DocSecurity>
  <Lines>20</Lines>
  <Paragraphs>5</Paragraphs>
  <ScaleCrop>false</ScaleCrop>
  <Company>Microsoft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Fraser</dc:creator>
  <cp:lastModifiedBy>Jean Fraser</cp:lastModifiedBy>
  <cp:revision>2</cp:revision>
  <dcterms:created xsi:type="dcterms:W3CDTF">2012-10-15T18:19:00Z</dcterms:created>
  <dcterms:modified xsi:type="dcterms:W3CDTF">2012-10-15T18:26:00Z</dcterms:modified>
</cp:coreProperties>
</file>