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59" w:rsidRDefault="00672659" w:rsidP="00672659">
      <w:pPr>
        <w:pStyle w:val="Heading1"/>
        <w:pBdr>
          <w:bottom w:val="single" w:sz="12" w:space="1" w:color="auto"/>
        </w:pBdr>
      </w:pPr>
      <w:r>
        <w:t>CITY OF PORTLAND, MAINE</w:t>
      </w:r>
    </w:p>
    <w:p w:rsidR="00672659" w:rsidRDefault="00672659" w:rsidP="00672659">
      <w:pPr>
        <w:pStyle w:val="Heading1"/>
        <w:rPr>
          <w:szCs w:val="24"/>
        </w:rPr>
      </w:pPr>
      <w:r>
        <w:rPr>
          <w:szCs w:val="24"/>
        </w:rPr>
        <w:t>PLANNING BOARD</w:t>
      </w:r>
    </w:p>
    <w:p w:rsidR="00672659" w:rsidRDefault="00672659" w:rsidP="00672659">
      <w:pPr>
        <w:jc w:val="right"/>
        <w:rPr>
          <w:sz w:val="16"/>
          <w:szCs w:val="16"/>
        </w:rPr>
      </w:pPr>
    </w:p>
    <w:p w:rsidR="00672659" w:rsidRDefault="00672659" w:rsidP="0067265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Carol </w:t>
      </w:r>
      <w:proofErr w:type="spellStart"/>
      <w:r>
        <w:rPr>
          <w:sz w:val="16"/>
          <w:szCs w:val="16"/>
        </w:rPr>
        <w:t>Morrissette</w:t>
      </w:r>
      <w:proofErr w:type="spellEnd"/>
      <w:r>
        <w:rPr>
          <w:sz w:val="16"/>
          <w:szCs w:val="16"/>
        </w:rPr>
        <w:t>, Chair</w:t>
      </w:r>
    </w:p>
    <w:p w:rsidR="00672659" w:rsidRDefault="00672659" w:rsidP="00672659">
      <w:pPr>
        <w:jc w:val="right"/>
        <w:rPr>
          <w:sz w:val="16"/>
          <w:szCs w:val="16"/>
        </w:rPr>
      </w:pPr>
      <w:r>
        <w:rPr>
          <w:sz w:val="16"/>
          <w:szCs w:val="16"/>
        </w:rPr>
        <w:t>Stuart O’Brien, Vice Chair</w:t>
      </w:r>
    </w:p>
    <w:p w:rsidR="00672659" w:rsidRDefault="00672659" w:rsidP="00672659">
      <w:pPr>
        <w:jc w:val="right"/>
        <w:rPr>
          <w:sz w:val="16"/>
          <w:szCs w:val="16"/>
        </w:rPr>
      </w:pPr>
      <w:r>
        <w:rPr>
          <w:sz w:val="16"/>
          <w:szCs w:val="16"/>
        </w:rPr>
        <w:t>Timothy Dean</w:t>
      </w:r>
    </w:p>
    <w:p w:rsidR="00672659" w:rsidRDefault="00672659" w:rsidP="00672659">
      <w:pPr>
        <w:jc w:val="right"/>
        <w:rPr>
          <w:sz w:val="16"/>
          <w:szCs w:val="16"/>
        </w:rPr>
      </w:pPr>
      <w:r>
        <w:rPr>
          <w:sz w:val="16"/>
          <w:szCs w:val="16"/>
        </w:rPr>
        <w:t>Bill Hall</w:t>
      </w:r>
    </w:p>
    <w:p w:rsidR="00672659" w:rsidRDefault="00672659" w:rsidP="00672659">
      <w:pPr>
        <w:jc w:val="right"/>
        <w:rPr>
          <w:sz w:val="16"/>
          <w:szCs w:val="16"/>
        </w:rPr>
      </w:pPr>
      <w:r>
        <w:rPr>
          <w:sz w:val="16"/>
          <w:szCs w:val="16"/>
        </w:rPr>
        <w:t>David Silk</w:t>
      </w:r>
    </w:p>
    <w:p w:rsidR="00672659" w:rsidRDefault="00672659" w:rsidP="0067265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Patrick </w:t>
      </w:r>
      <w:proofErr w:type="spellStart"/>
      <w:r>
        <w:rPr>
          <w:sz w:val="16"/>
          <w:szCs w:val="16"/>
        </w:rPr>
        <w:t>Venne</w:t>
      </w:r>
      <w:proofErr w:type="spellEnd"/>
    </w:p>
    <w:p w:rsidR="00672659" w:rsidRDefault="00672659" w:rsidP="00672659">
      <w:pPr>
        <w:jc w:val="right"/>
        <w:rPr>
          <w:rFonts w:ascii="EngraversGothic BT" w:hAnsi="EngraversGothic BT"/>
          <w:b/>
          <w:bCs/>
          <w:sz w:val="30"/>
          <w:szCs w:val="30"/>
        </w:rPr>
      </w:pPr>
    </w:p>
    <w:p w:rsidR="00672659" w:rsidRDefault="00672659" w:rsidP="00672659">
      <w:pPr>
        <w:ind w:left="360" w:right="540"/>
        <w:rPr>
          <w:rFonts w:ascii="Arial" w:hAnsi="Arial" w:cs="Arial"/>
          <w:szCs w:val="20"/>
        </w:rPr>
      </w:pPr>
      <w:r w:rsidRPr="0012631B">
        <w:rPr>
          <w:rFonts w:ascii="Arial" w:hAnsi="Arial" w:cs="Arial"/>
          <w:szCs w:val="20"/>
        </w:rPr>
        <w:t xml:space="preserve">October </w:t>
      </w:r>
      <w:r>
        <w:rPr>
          <w:rFonts w:ascii="Arial" w:hAnsi="Arial" w:cs="Arial"/>
          <w:szCs w:val="20"/>
        </w:rPr>
        <w:t>1</w:t>
      </w:r>
      <w:r w:rsidR="00371CA0">
        <w:rPr>
          <w:rFonts w:ascii="Arial" w:hAnsi="Arial" w:cs="Arial"/>
          <w:szCs w:val="20"/>
        </w:rPr>
        <w:t>1</w:t>
      </w:r>
      <w:r w:rsidRPr="0012631B">
        <w:rPr>
          <w:rFonts w:ascii="Arial" w:hAnsi="Arial" w:cs="Arial"/>
          <w:szCs w:val="20"/>
          <w:vertAlign w:val="superscript"/>
        </w:rPr>
        <w:t>th</w:t>
      </w:r>
      <w:r w:rsidRPr="0012631B">
        <w:rPr>
          <w:rFonts w:ascii="Arial" w:hAnsi="Arial" w:cs="Arial"/>
          <w:szCs w:val="20"/>
        </w:rPr>
        <w:t>, 2012</w:t>
      </w:r>
    </w:p>
    <w:p w:rsidR="00672659" w:rsidRPr="008901F8" w:rsidRDefault="00672659" w:rsidP="00672659">
      <w:pPr>
        <w:ind w:left="360" w:right="540"/>
        <w:rPr>
          <w:rFonts w:ascii="Arial" w:hAnsi="Arial" w:cs="Arial"/>
        </w:rPr>
      </w:pPr>
    </w:p>
    <w:p w:rsidR="00672659" w:rsidRPr="008901F8" w:rsidRDefault="00672659" w:rsidP="00672659">
      <w:pPr>
        <w:ind w:left="360" w:right="540"/>
        <w:rPr>
          <w:rFonts w:ascii="Arial" w:hAnsi="Arial" w:cs="Arial"/>
        </w:rPr>
      </w:pPr>
    </w:p>
    <w:p w:rsidR="00672659" w:rsidRPr="0012631B" w:rsidRDefault="00672659" w:rsidP="00672659">
      <w:pPr>
        <w:ind w:left="360" w:right="54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</w:smartTag>
      <w:r w:rsidRPr="0012631B">
        <w:rPr>
          <w:rFonts w:ascii="Arial" w:hAnsi="Arial" w:cs="Arial"/>
          <w:szCs w:val="20"/>
        </w:rPr>
        <w:t xml:space="preserve"> Planning Board</w:t>
      </w:r>
    </w:p>
    <w:p w:rsidR="00672659" w:rsidRPr="0012631B" w:rsidRDefault="00672659" w:rsidP="00672659">
      <w:pPr>
        <w:ind w:left="360" w:right="540"/>
        <w:rPr>
          <w:rFonts w:ascii="Arial" w:hAnsi="Arial" w:cs="Arial"/>
          <w:szCs w:val="20"/>
        </w:rPr>
      </w:pPr>
      <w:proofErr w:type="gramStart"/>
      <w:r w:rsidRPr="0012631B">
        <w:rPr>
          <w:rFonts w:ascii="Arial" w:hAnsi="Arial" w:cs="Arial"/>
          <w:szCs w:val="20"/>
        </w:rPr>
        <w:t>c/o</w:t>
      </w:r>
      <w:proofErr w:type="gramEnd"/>
      <w:r w:rsidRPr="0012631B">
        <w:rPr>
          <w:rFonts w:ascii="Arial" w:hAnsi="Arial" w:cs="Arial"/>
          <w:szCs w:val="20"/>
        </w:rPr>
        <w:t xml:space="preserve"> Ethan J Croce, Senior Planner</w:t>
      </w:r>
    </w:p>
    <w:p w:rsidR="00672659" w:rsidRPr="0012631B" w:rsidRDefault="00672659" w:rsidP="00672659">
      <w:pPr>
        <w:ind w:left="360" w:right="540"/>
        <w:rPr>
          <w:rFonts w:ascii="Arial" w:hAnsi="Arial" w:cs="Arial"/>
          <w:szCs w:val="20"/>
        </w:rPr>
      </w:pPr>
      <w:r w:rsidRPr="0012631B">
        <w:rPr>
          <w:rFonts w:ascii="Arial" w:hAnsi="Arial" w:cs="Arial"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</w:smartTag>
    </w:p>
    <w:p w:rsidR="00672659" w:rsidRPr="0012631B" w:rsidRDefault="00672659" w:rsidP="00672659">
      <w:pPr>
        <w:ind w:left="360" w:right="540"/>
        <w:rPr>
          <w:rFonts w:ascii="Arial" w:hAnsi="Arial" w:cs="Arial"/>
          <w:szCs w:val="20"/>
        </w:rPr>
      </w:pPr>
      <w:smartTag w:uri="urn:schemas-microsoft-com:office:smarttags" w:element="address">
        <w:smartTag w:uri="urn:schemas-microsoft-com:office:smarttags" w:element="Street">
          <w:r w:rsidRPr="0012631B">
            <w:rPr>
              <w:rFonts w:ascii="Arial" w:hAnsi="Arial" w:cs="Arial"/>
              <w:szCs w:val="20"/>
            </w:rPr>
            <w:t>271 Falmouth Road</w:t>
          </w:r>
        </w:smartTag>
      </w:smartTag>
    </w:p>
    <w:p w:rsidR="00672659" w:rsidRDefault="00672659" w:rsidP="00672659">
      <w:pPr>
        <w:ind w:left="360" w:right="54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12631B">
            <w:rPr>
              <w:rFonts w:ascii="Arial" w:hAnsi="Arial" w:cs="Arial"/>
              <w:szCs w:val="20"/>
            </w:rPr>
            <w:t>Falmouth</w:t>
          </w:r>
        </w:smartTag>
        <w:r w:rsidRPr="0012631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12631B">
            <w:rPr>
              <w:rFonts w:ascii="Arial" w:hAnsi="Arial" w:cs="Arial"/>
              <w:szCs w:val="20"/>
            </w:rPr>
            <w:t>ME</w:t>
          </w:r>
        </w:smartTag>
        <w:r w:rsidRPr="0012631B">
          <w:rPr>
            <w:rFonts w:ascii="Arial" w:hAnsi="Arial" w:cs="Arial"/>
            <w:szCs w:val="20"/>
          </w:rPr>
          <w:t xml:space="preserve">  </w:t>
        </w:r>
        <w:smartTag w:uri="urn:schemas-microsoft-com:office:smarttags" w:element="PostalCode">
          <w:r w:rsidRPr="0012631B">
            <w:rPr>
              <w:rFonts w:ascii="Arial" w:hAnsi="Arial" w:cs="Arial"/>
              <w:szCs w:val="20"/>
            </w:rPr>
            <w:t>04105</w:t>
          </w:r>
        </w:smartTag>
      </w:smartTag>
    </w:p>
    <w:p w:rsidR="00672659" w:rsidRDefault="00672659" w:rsidP="00672659">
      <w:pPr>
        <w:ind w:left="360" w:right="540"/>
        <w:rPr>
          <w:rFonts w:ascii="Arial" w:hAnsi="Arial" w:cs="Arial"/>
          <w:szCs w:val="20"/>
        </w:rPr>
      </w:pPr>
    </w:p>
    <w:p w:rsidR="00672659" w:rsidRDefault="00672659" w:rsidP="00672659">
      <w:pPr>
        <w:ind w:left="360" w:right="540"/>
        <w:rPr>
          <w:rFonts w:ascii="Arial" w:hAnsi="Arial" w:cs="Arial"/>
          <w:szCs w:val="20"/>
        </w:rPr>
      </w:pPr>
    </w:p>
    <w:p w:rsidR="00672659" w:rsidRPr="0012631B" w:rsidRDefault="00672659" w:rsidP="00672659">
      <w:pPr>
        <w:ind w:left="360" w:right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Re:  </w:t>
      </w:r>
      <w:r w:rsidRPr="00411799">
        <w:rPr>
          <w:rFonts w:ascii="Arial" w:hAnsi="Arial" w:cs="Arial"/>
          <w:szCs w:val="20"/>
          <w:u w:val="single"/>
        </w:rPr>
        <w:t xml:space="preserve">Proposed </w:t>
      </w:r>
      <w:r>
        <w:rPr>
          <w:rFonts w:ascii="Arial" w:hAnsi="Arial" w:cs="Arial"/>
          <w:szCs w:val="20"/>
          <w:u w:val="single"/>
        </w:rPr>
        <w:t>S</w:t>
      </w:r>
      <w:r w:rsidRPr="00411799">
        <w:rPr>
          <w:rFonts w:ascii="Arial" w:hAnsi="Arial" w:cs="Arial"/>
          <w:szCs w:val="20"/>
          <w:u w:val="single"/>
        </w:rPr>
        <w:t>ubdivision</w:t>
      </w:r>
      <w:r>
        <w:rPr>
          <w:rFonts w:ascii="Arial" w:hAnsi="Arial" w:cs="Arial"/>
          <w:szCs w:val="20"/>
          <w:u w:val="single"/>
        </w:rPr>
        <w:t xml:space="preserve">:  </w:t>
      </w:r>
      <w:r w:rsidRPr="00411799">
        <w:rPr>
          <w:rFonts w:ascii="Arial" w:hAnsi="Arial" w:cs="Arial"/>
          <w:szCs w:val="20"/>
          <w:u w:val="single"/>
        </w:rPr>
        <w:t xml:space="preserve"> TPO Properties LLC </w:t>
      </w:r>
      <w:r>
        <w:rPr>
          <w:rFonts w:ascii="Arial" w:hAnsi="Arial" w:cs="Arial"/>
          <w:szCs w:val="20"/>
          <w:u w:val="single"/>
        </w:rPr>
        <w:t xml:space="preserve">(Tim O’Donovan) applicant;   </w:t>
      </w:r>
      <w:proofErr w:type="spellStart"/>
      <w:r w:rsidRPr="00411799">
        <w:rPr>
          <w:rFonts w:ascii="Arial" w:hAnsi="Arial" w:cs="Arial"/>
          <w:szCs w:val="20"/>
          <w:u w:val="single"/>
        </w:rPr>
        <w:t>Ledgewood</w:t>
      </w:r>
      <w:proofErr w:type="spellEnd"/>
      <w:r w:rsidRPr="00411799">
        <w:rPr>
          <w:rFonts w:ascii="Arial" w:hAnsi="Arial" w:cs="Arial"/>
          <w:szCs w:val="20"/>
          <w:u w:val="single"/>
        </w:rPr>
        <w:t xml:space="preserve"> Drive</w:t>
      </w:r>
    </w:p>
    <w:p w:rsidR="00672659" w:rsidRDefault="00672659" w:rsidP="00672659">
      <w:pPr>
        <w:ind w:left="360" w:right="540"/>
        <w:rPr>
          <w:rFonts w:ascii="Arial" w:hAnsi="Arial" w:cs="Arial"/>
          <w:szCs w:val="20"/>
        </w:rPr>
      </w:pPr>
    </w:p>
    <w:p w:rsidR="00672659" w:rsidRPr="0012631B" w:rsidRDefault="00672659" w:rsidP="00672659">
      <w:pPr>
        <w:ind w:left="360" w:right="540"/>
        <w:rPr>
          <w:rFonts w:ascii="Arial" w:hAnsi="Arial" w:cs="Arial"/>
          <w:szCs w:val="20"/>
        </w:rPr>
      </w:pPr>
    </w:p>
    <w:p w:rsidR="00672659" w:rsidRDefault="00672659" w:rsidP="00672659">
      <w:pPr>
        <w:ind w:left="360" w:right="540"/>
        <w:rPr>
          <w:rFonts w:ascii="Arial" w:hAnsi="Arial" w:cs="Arial"/>
          <w:szCs w:val="20"/>
        </w:rPr>
      </w:pPr>
      <w:r w:rsidRPr="0012631B">
        <w:rPr>
          <w:rFonts w:ascii="Arial" w:hAnsi="Arial" w:cs="Arial"/>
          <w:szCs w:val="20"/>
        </w:rPr>
        <w:t>Dear Mr</w:t>
      </w:r>
      <w:r>
        <w:rPr>
          <w:rFonts w:ascii="Arial" w:hAnsi="Arial" w:cs="Arial"/>
          <w:szCs w:val="20"/>
        </w:rPr>
        <w:t>.</w:t>
      </w:r>
      <w:r w:rsidRPr="0012631B">
        <w:rPr>
          <w:rFonts w:ascii="Arial" w:hAnsi="Arial" w:cs="Arial"/>
          <w:szCs w:val="20"/>
        </w:rPr>
        <w:t xml:space="preserve"> Croce</w:t>
      </w:r>
      <w:r>
        <w:rPr>
          <w:rFonts w:ascii="Arial" w:hAnsi="Arial" w:cs="Arial"/>
          <w:szCs w:val="20"/>
        </w:rPr>
        <w:t xml:space="preserve"> and Members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0"/>
            </w:rPr>
            <w:t>Falmouth</w:t>
          </w:r>
        </w:smartTag>
      </w:smartTag>
      <w:r>
        <w:rPr>
          <w:rFonts w:ascii="Arial" w:hAnsi="Arial" w:cs="Arial"/>
          <w:szCs w:val="20"/>
        </w:rPr>
        <w:t xml:space="preserve"> Planning Board:</w:t>
      </w:r>
    </w:p>
    <w:p w:rsidR="00672659" w:rsidRPr="00340C1F" w:rsidRDefault="00672659" w:rsidP="00672659">
      <w:pPr>
        <w:ind w:left="360" w:right="540"/>
        <w:rPr>
          <w:rFonts w:ascii="Arial" w:hAnsi="Arial" w:cs="Arial"/>
          <w:sz w:val="16"/>
          <w:szCs w:val="16"/>
        </w:rPr>
      </w:pPr>
    </w:p>
    <w:p w:rsidR="00672659" w:rsidRPr="00A25CB1" w:rsidRDefault="00672659" w:rsidP="00672659">
      <w:pPr>
        <w:tabs>
          <w:tab w:val="left" w:pos="540"/>
        </w:tabs>
        <w:ind w:left="360" w:right="54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As you know, u</w:t>
      </w:r>
      <w:r w:rsidRPr="00A25CB1">
        <w:rPr>
          <w:rFonts w:ascii="Arial" w:hAnsi="Arial" w:cs="Arial"/>
          <w:bCs/>
          <w:szCs w:val="20"/>
        </w:rPr>
        <w:t>nder 30-</w:t>
      </w:r>
      <w:r>
        <w:rPr>
          <w:rFonts w:ascii="Arial" w:hAnsi="Arial" w:cs="Arial"/>
          <w:bCs/>
          <w:szCs w:val="20"/>
        </w:rPr>
        <w:t xml:space="preserve">A </w:t>
      </w:r>
      <w:r w:rsidRPr="00A25CB1">
        <w:rPr>
          <w:rFonts w:ascii="Arial" w:hAnsi="Arial" w:cs="Arial"/>
          <w:bCs/>
          <w:szCs w:val="20"/>
        </w:rPr>
        <w:t>M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R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S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Cs w:val="20"/>
        </w:rPr>
        <w:t>.</w:t>
      </w:r>
      <w:r w:rsidRPr="00A25CB1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s</w:t>
      </w:r>
      <w:r w:rsidRPr="00A25CB1">
        <w:rPr>
          <w:rFonts w:ascii="Arial" w:hAnsi="Arial" w:cs="Arial"/>
          <w:bCs/>
          <w:szCs w:val="20"/>
        </w:rPr>
        <w:t>ection 4403</w:t>
      </w:r>
      <w:r>
        <w:rPr>
          <w:rFonts w:ascii="Arial" w:hAnsi="Arial" w:cs="Arial"/>
          <w:bCs/>
          <w:szCs w:val="20"/>
        </w:rPr>
        <w:t>(</w:t>
      </w:r>
      <w:r w:rsidRPr="00A25CB1">
        <w:rPr>
          <w:rFonts w:ascii="Arial" w:hAnsi="Arial" w:cs="Arial"/>
          <w:bCs/>
          <w:szCs w:val="20"/>
        </w:rPr>
        <w:t>1-A</w:t>
      </w:r>
      <w:r>
        <w:rPr>
          <w:rFonts w:ascii="Arial" w:hAnsi="Arial" w:cs="Arial"/>
          <w:bCs/>
          <w:szCs w:val="20"/>
        </w:rPr>
        <w:t>)</w:t>
      </w:r>
      <w:r w:rsidRPr="00A25CB1">
        <w:rPr>
          <w:rFonts w:ascii="Arial" w:hAnsi="Arial" w:cs="Arial"/>
          <w:bCs/>
          <w:szCs w:val="20"/>
        </w:rPr>
        <w:t xml:space="preserve"> the above project requires all review meetings and hearings of the relevant Boards to be held jointly unless both Boards agree, in writing, to waive this requirement.</w:t>
      </w:r>
    </w:p>
    <w:p w:rsidR="00672659" w:rsidRPr="00340C1F" w:rsidRDefault="00672659" w:rsidP="00672659">
      <w:pPr>
        <w:ind w:left="360" w:right="540"/>
        <w:rPr>
          <w:rFonts w:ascii="Arial" w:hAnsi="Arial" w:cs="Arial"/>
          <w:sz w:val="16"/>
          <w:szCs w:val="16"/>
        </w:rPr>
      </w:pPr>
    </w:p>
    <w:p w:rsidR="00672659" w:rsidRPr="00411799" w:rsidRDefault="00672659" w:rsidP="00672659">
      <w:pPr>
        <w:ind w:left="360" w:right="540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The Portland Planning Board (the “Board”) held an informational workshop on September 24</w:t>
      </w:r>
      <w:r w:rsidRPr="0012631B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, 2012, where the Board discussed the project and considered the several issues raised as a result of the its location within both the City of Portland and Town of Falmouth. The Board requested that </w:t>
      </w:r>
      <w:r>
        <w:rPr>
          <w:rFonts w:ascii="Arial" w:hAnsi="Arial" w:cs="Arial"/>
          <w:bCs/>
          <w:szCs w:val="20"/>
        </w:rPr>
        <w:t>Portland staff coordinate with Falmouth staff regarding all aspects of the review and we anticipate that detailed issues, including those raised by the Falmouth Planning Board at its pre-application sketch plan review on August 2012, will need to be reviewed and resolved.</w:t>
      </w:r>
    </w:p>
    <w:p w:rsidR="00672659" w:rsidRPr="00340C1F" w:rsidRDefault="00672659" w:rsidP="00672659">
      <w:pPr>
        <w:ind w:left="360" w:right="540"/>
        <w:rPr>
          <w:rFonts w:ascii="Arial" w:hAnsi="Arial" w:cs="Arial"/>
          <w:sz w:val="16"/>
          <w:szCs w:val="16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This letter confirms that on</w:t>
      </w:r>
      <w:r w:rsidRPr="00411799">
        <w:rPr>
          <w:rFonts w:ascii="Arial" w:hAnsi="Arial" w:cs="Arial"/>
          <w:szCs w:val="20"/>
        </w:rPr>
        <w:t xml:space="preserve"> October 9</w:t>
      </w:r>
      <w:r w:rsidRPr="00A25CB1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  <w:vertAlign w:val="superscript"/>
        </w:rPr>
        <w:t>,</w:t>
      </w:r>
      <w:r w:rsidRPr="00411799">
        <w:rPr>
          <w:rFonts w:ascii="Arial" w:hAnsi="Arial" w:cs="Arial"/>
          <w:szCs w:val="20"/>
        </w:rPr>
        <w:t xml:space="preserve"> 2012</w:t>
      </w:r>
      <w:r>
        <w:rPr>
          <w:rFonts w:ascii="Arial" w:hAnsi="Arial" w:cs="Arial"/>
          <w:szCs w:val="20"/>
        </w:rPr>
        <w:t>, the Portland Planning Board voted 5-0 (Dean absent) to</w:t>
      </w:r>
      <w:r w:rsidRPr="00411799">
        <w:rPr>
          <w:rFonts w:ascii="Arial" w:hAnsi="Arial" w:cs="Arial"/>
          <w:bCs/>
          <w:szCs w:val="20"/>
        </w:rPr>
        <w:t xml:space="preserve"> waive the joint meeting requirement</w:t>
      </w:r>
      <w:r>
        <w:rPr>
          <w:rFonts w:ascii="Arial" w:hAnsi="Arial" w:cs="Arial"/>
          <w:bCs/>
          <w:szCs w:val="20"/>
        </w:rPr>
        <w:t xml:space="preserve"> in section 4403(1-A), </w:t>
      </w:r>
      <w:r w:rsidRPr="00411799">
        <w:rPr>
          <w:rFonts w:ascii="Arial" w:hAnsi="Arial" w:cs="Arial"/>
          <w:bCs/>
          <w:szCs w:val="20"/>
        </w:rPr>
        <w:t>with the proviso that the option for requesting a joint meeting remains available</w:t>
      </w:r>
      <w:r>
        <w:rPr>
          <w:rFonts w:ascii="Arial" w:hAnsi="Arial" w:cs="Arial"/>
          <w:bCs/>
          <w:szCs w:val="20"/>
        </w:rPr>
        <w:t xml:space="preserve"> to the Board</w:t>
      </w:r>
      <w:r w:rsidRPr="00411799">
        <w:rPr>
          <w:rFonts w:ascii="Arial" w:hAnsi="Arial" w:cs="Arial"/>
          <w:bCs/>
          <w:szCs w:val="20"/>
        </w:rPr>
        <w:t xml:space="preserve"> in the event there are issues that arise that require joint consideration and resolution.</w:t>
      </w:r>
    </w:p>
    <w:p w:rsidR="00672659" w:rsidRPr="00340C1F" w:rsidRDefault="00672659" w:rsidP="00672659">
      <w:pPr>
        <w:ind w:left="360" w:right="540"/>
        <w:rPr>
          <w:rFonts w:ascii="Arial" w:hAnsi="Arial" w:cs="Arial"/>
          <w:bCs/>
          <w:sz w:val="16"/>
          <w:szCs w:val="16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Please contact Jean Fraser at (207) 874 8728 if you have any questions.</w:t>
      </w:r>
    </w:p>
    <w:p w:rsidR="00672659" w:rsidRPr="00340C1F" w:rsidRDefault="00672659" w:rsidP="00672659">
      <w:pPr>
        <w:ind w:left="360" w:right="540"/>
        <w:rPr>
          <w:rFonts w:ascii="Arial" w:hAnsi="Arial" w:cs="Arial"/>
          <w:bCs/>
          <w:sz w:val="16"/>
          <w:szCs w:val="16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Sincerely,</w:t>
      </w: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</w:p>
    <w:p w:rsidR="00672659" w:rsidRPr="00340C1F" w:rsidRDefault="00672659" w:rsidP="00672659">
      <w:pPr>
        <w:ind w:left="360" w:right="540"/>
        <w:rPr>
          <w:rFonts w:ascii="Arial" w:hAnsi="Arial" w:cs="Arial"/>
          <w:bCs/>
          <w:sz w:val="16"/>
          <w:szCs w:val="16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Carol </w:t>
      </w:r>
      <w:proofErr w:type="spellStart"/>
      <w:r>
        <w:rPr>
          <w:rFonts w:ascii="Arial" w:hAnsi="Arial" w:cs="Arial"/>
          <w:bCs/>
          <w:szCs w:val="20"/>
        </w:rPr>
        <w:t>Morrissette</w:t>
      </w:r>
      <w:proofErr w:type="spellEnd"/>
      <w:r>
        <w:rPr>
          <w:rFonts w:ascii="Arial" w:hAnsi="Arial" w:cs="Arial"/>
          <w:bCs/>
          <w:szCs w:val="20"/>
        </w:rPr>
        <w:t>, Chair</w:t>
      </w: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Portland Planning Board</w:t>
      </w:r>
    </w:p>
    <w:p w:rsidR="00672659" w:rsidRDefault="00672659" w:rsidP="00672659">
      <w:pPr>
        <w:ind w:left="360" w:right="540"/>
        <w:rPr>
          <w:rFonts w:ascii="Arial" w:hAnsi="Arial" w:cs="Arial"/>
          <w:bCs/>
          <w:szCs w:val="20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 w:val="16"/>
          <w:szCs w:val="16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 w:val="16"/>
          <w:szCs w:val="16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 w:val="16"/>
          <w:szCs w:val="16"/>
        </w:rPr>
      </w:pPr>
    </w:p>
    <w:p w:rsidR="00672659" w:rsidRDefault="00672659" w:rsidP="00672659">
      <w:pPr>
        <w:ind w:left="360" w:right="540"/>
        <w:rPr>
          <w:rFonts w:ascii="Arial" w:hAnsi="Arial" w:cs="Arial"/>
          <w:bCs/>
          <w:sz w:val="16"/>
          <w:szCs w:val="16"/>
        </w:rPr>
      </w:pPr>
    </w:p>
    <w:p w:rsidR="00672659" w:rsidRPr="0004663F" w:rsidRDefault="00672659" w:rsidP="00672659">
      <w:pPr>
        <w:ind w:left="360" w:right="540"/>
        <w:rPr>
          <w:rFonts w:ascii="Arial" w:hAnsi="Arial" w:cs="Arial"/>
          <w:bCs/>
          <w:sz w:val="16"/>
          <w:szCs w:val="16"/>
        </w:rPr>
      </w:pPr>
    </w:p>
    <w:p w:rsidR="00672659" w:rsidRPr="0004663F" w:rsidRDefault="00672659" w:rsidP="00672659">
      <w:pPr>
        <w:tabs>
          <w:tab w:val="left" w:pos="720"/>
          <w:tab w:val="left" w:pos="5580"/>
        </w:tabs>
        <w:ind w:left="360" w:right="540"/>
        <w:outlineLvl w:val="0"/>
        <w:rPr>
          <w:sz w:val="16"/>
          <w:szCs w:val="16"/>
        </w:rPr>
      </w:pPr>
      <w:r w:rsidRPr="0004663F">
        <w:rPr>
          <w:rFonts w:ascii="Arial" w:hAnsi="Arial" w:cs="Arial"/>
          <w:sz w:val="16"/>
          <w:szCs w:val="16"/>
        </w:rPr>
        <w:t xml:space="preserve">Cc  </w:t>
      </w:r>
      <w:r w:rsidRPr="0004663F">
        <w:rPr>
          <w:sz w:val="16"/>
          <w:szCs w:val="16"/>
        </w:rPr>
        <w:tab/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4964"/>
      </w:tblGrid>
      <w:tr w:rsidR="00672659" w:rsidTr="00B839EE">
        <w:tc>
          <w:tcPr>
            <w:tcW w:w="5238" w:type="dxa"/>
          </w:tcPr>
          <w:p w:rsidR="00672659" w:rsidRDefault="00672659" w:rsidP="00672659">
            <w:pPr>
              <w:tabs>
                <w:tab w:val="left" w:pos="720"/>
                <w:tab w:val="left" w:pos="5580"/>
              </w:tabs>
              <w:ind w:left="360" w:right="540"/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Jeff Levine, AICP, Director of Planning and Urban Development</w:t>
            </w:r>
          </w:p>
          <w:p w:rsidR="00672659" w:rsidRDefault="00672659" w:rsidP="00672659">
            <w:pPr>
              <w:tabs>
                <w:tab w:val="left" w:pos="72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Alexander </w:t>
            </w:r>
            <w:proofErr w:type="spellStart"/>
            <w:r>
              <w:rPr>
                <w:sz w:val="16"/>
                <w:szCs w:val="16"/>
              </w:rPr>
              <w:t>Jaegerman</w:t>
            </w:r>
            <w:proofErr w:type="spellEnd"/>
            <w:r>
              <w:rPr>
                <w:sz w:val="16"/>
                <w:szCs w:val="16"/>
              </w:rPr>
              <w:t>, FAICP, Planning Division Director</w:t>
            </w:r>
          </w:p>
          <w:p w:rsidR="00672659" w:rsidRDefault="00672659" w:rsidP="00672659">
            <w:pPr>
              <w:tabs>
                <w:tab w:val="left" w:pos="72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Barbara </w:t>
            </w:r>
            <w:proofErr w:type="spellStart"/>
            <w:r>
              <w:rPr>
                <w:sz w:val="16"/>
                <w:szCs w:val="16"/>
              </w:rPr>
              <w:t>Barhydt</w:t>
            </w:r>
            <w:proofErr w:type="spellEnd"/>
            <w:r>
              <w:rPr>
                <w:sz w:val="16"/>
                <w:szCs w:val="16"/>
              </w:rPr>
              <w:t>, Development Review Services Manager</w:t>
            </w:r>
          </w:p>
          <w:p w:rsidR="00672659" w:rsidRDefault="00672659" w:rsidP="00672659">
            <w:pPr>
              <w:tabs>
                <w:tab w:val="left" w:pos="72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Fraser, Planner</w:t>
            </w:r>
            <w:r>
              <w:rPr>
                <w:sz w:val="16"/>
                <w:szCs w:val="16"/>
              </w:rPr>
              <w:tab/>
            </w:r>
          </w:p>
          <w:p w:rsidR="00672659" w:rsidRDefault="00672659" w:rsidP="00672659">
            <w:pPr>
              <w:tabs>
                <w:tab w:val="left" w:pos="72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Bobinsky</w:t>
            </w:r>
            <w:proofErr w:type="spellEnd"/>
            <w:r>
              <w:rPr>
                <w:sz w:val="16"/>
                <w:szCs w:val="16"/>
              </w:rPr>
              <w:t>, Public Services Director</w:t>
            </w:r>
          </w:p>
          <w:p w:rsidR="00672659" w:rsidRDefault="00672659" w:rsidP="00672659">
            <w:pPr>
              <w:tabs>
                <w:tab w:val="left" w:pos="72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Katherine </w:t>
            </w:r>
            <w:proofErr w:type="spellStart"/>
            <w:r>
              <w:rPr>
                <w:sz w:val="16"/>
                <w:szCs w:val="16"/>
              </w:rPr>
              <w:t>Earley</w:t>
            </w:r>
            <w:proofErr w:type="spellEnd"/>
            <w:r>
              <w:rPr>
                <w:sz w:val="16"/>
                <w:szCs w:val="16"/>
              </w:rPr>
              <w:t xml:space="preserve">, Engineering Services Manager, Public Services Eric Labelle, </w:t>
            </w:r>
            <w:r w:rsidR="00371CA0">
              <w:rPr>
                <w:sz w:val="16"/>
                <w:szCs w:val="16"/>
              </w:rPr>
              <w:t>Assistant Director- Operations, Public Services</w:t>
            </w:r>
          </w:p>
          <w:p w:rsidR="00672659" w:rsidRDefault="00672659" w:rsidP="00672659">
            <w:pPr>
              <w:tabs>
                <w:tab w:val="left" w:pos="72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Margolis-</w:t>
            </w:r>
            <w:proofErr w:type="spellStart"/>
            <w:r>
              <w:rPr>
                <w:sz w:val="16"/>
                <w:szCs w:val="16"/>
              </w:rPr>
              <w:t>Pineo</w:t>
            </w:r>
            <w:proofErr w:type="spellEnd"/>
            <w:r>
              <w:rPr>
                <w:sz w:val="16"/>
                <w:szCs w:val="16"/>
              </w:rPr>
              <w:t>, Deputy City Engineer, Public Services</w:t>
            </w:r>
          </w:p>
        </w:tc>
        <w:tc>
          <w:tcPr>
            <w:tcW w:w="5130" w:type="dxa"/>
          </w:tcPr>
          <w:p w:rsidR="00672659" w:rsidRDefault="00672659" w:rsidP="00672659">
            <w:pPr>
              <w:tabs>
                <w:tab w:val="left" w:pos="72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 </w:t>
            </w:r>
            <w:proofErr w:type="spellStart"/>
            <w:r>
              <w:rPr>
                <w:sz w:val="16"/>
                <w:szCs w:val="16"/>
              </w:rPr>
              <w:t>Roncarati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Stormwater</w:t>
            </w:r>
            <w:proofErr w:type="spellEnd"/>
            <w:r>
              <w:rPr>
                <w:sz w:val="16"/>
                <w:szCs w:val="16"/>
              </w:rPr>
              <w:t xml:space="preserve"> Coordinator, Public Services</w:t>
            </w:r>
          </w:p>
          <w:p w:rsidR="00672659" w:rsidRDefault="00672659" w:rsidP="00672659">
            <w:pPr>
              <w:tabs>
                <w:tab w:val="left" w:pos="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Sweeney, Associate Engineer</w:t>
            </w:r>
            <w:r w:rsidR="00371CA0">
              <w:rPr>
                <w:sz w:val="16"/>
                <w:szCs w:val="16"/>
              </w:rPr>
              <w:t>, Public S</w:t>
            </w:r>
            <w:bookmarkStart w:id="0" w:name="_GoBack"/>
            <w:bookmarkEnd w:id="0"/>
            <w:r w:rsidR="00371CA0">
              <w:rPr>
                <w:sz w:val="16"/>
                <w:szCs w:val="16"/>
              </w:rPr>
              <w:t>ervices</w:t>
            </w:r>
          </w:p>
          <w:p w:rsidR="00672659" w:rsidRDefault="00672659" w:rsidP="00672659">
            <w:pPr>
              <w:tabs>
                <w:tab w:val="left" w:pos="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Jeff </w:t>
            </w:r>
            <w:proofErr w:type="spellStart"/>
            <w:r>
              <w:rPr>
                <w:sz w:val="16"/>
                <w:szCs w:val="16"/>
              </w:rPr>
              <w:t>Tarling</w:t>
            </w:r>
            <w:proofErr w:type="spellEnd"/>
            <w:r>
              <w:rPr>
                <w:sz w:val="16"/>
                <w:szCs w:val="16"/>
              </w:rPr>
              <w:t>, City Arborist, Public Services</w:t>
            </w:r>
          </w:p>
          <w:p w:rsidR="00672659" w:rsidRDefault="00672659" w:rsidP="00672659">
            <w:pPr>
              <w:tabs>
                <w:tab w:val="left" w:pos="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Jeremiah Bartlett, Public Services</w:t>
            </w:r>
          </w:p>
          <w:p w:rsidR="00672659" w:rsidRDefault="00672659" w:rsidP="00672659">
            <w:pPr>
              <w:tabs>
                <w:tab w:val="left" w:pos="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Captain Chris </w:t>
            </w:r>
            <w:proofErr w:type="spellStart"/>
            <w:r>
              <w:rPr>
                <w:sz w:val="16"/>
                <w:szCs w:val="16"/>
              </w:rPr>
              <w:t>Pirone</w:t>
            </w:r>
            <w:proofErr w:type="spellEnd"/>
            <w:r>
              <w:rPr>
                <w:sz w:val="16"/>
                <w:szCs w:val="16"/>
              </w:rPr>
              <w:t>, Fire Department</w:t>
            </w:r>
          </w:p>
          <w:p w:rsidR="00672659" w:rsidRDefault="00672659" w:rsidP="00672659">
            <w:pPr>
              <w:tabs>
                <w:tab w:val="left" w:pos="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Thomas </w:t>
            </w:r>
            <w:proofErr w:type="spellStart"/>
            <w:r>
              <w:rPr>
                <w:sz w:val="16"/>
                <w:szCs w:val="16"/>
              </w:rPr>
              <w:t>Errico</w:t>
            </w:r>
            <w:proofErr w:type="spellEnd"/>
            <w:r>
              <w:rPr>
                <w:sz w:val="16"/>
                <w:szCs w:val="16"/>
              </w:rPr>
              <w:t>, P.E., TY Lin Associates</w:t>
            </w:r>
          </w:p>
          <w:p w:rsidR="00672659" w:rsidRDefault="00672659" w:rsidP="00672659">
            <w:pPr>
              <w:tabs>
                <w:tab w:val="left" w:pos="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</w:t>
            </w:r>
            <w:proofErr w:type="spellStart"/>
            <w:r>
              <w:rPr>
                <w:sz w:val="16"/>
                <w:szCs w:val="16"/>
              </w:rPr>
              <w:t>Senus</w:t>
            </w:r>
            <w:proofErr w:type="spellEnd"/>
            <w:r>
              <w:rPr>
                <w:sz w:val="16"/>
                <w:szCs w:val="16"/>
              </w:rPr>
              <w:t>, P.E., Woodard and Curran</w:t>
            </w:r>
          </w:p>
          <w:p w:rsidR="00672659" w:rsidRDefault="00672659" w:rsidP="00672659">
            <w:pPr>
              <w:tabs>
                <w:tab w:val="left" w:pos="0"/>
                <w:tab w:val="left" w:pos="5580"/>
              </w:tabs>
              <w:ind w:left="360" w:right="5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Applicant </w:t>
            </w:r>
          </w:p>
        </w:tc>
      </w:tr>
    </w:tbl>
    <w:p w:rsidR="00672659" w:rsidRPr="0004663F" w:rsidRDefault="00672659" w:rsidP="00672659">
      <w:pPr>
        <w:tabs>
          <w:tab w:val="left" w:pos="720"/>
          <w:tab w:val="left" w:pos="5580"/>
        </w:tabs>
        <w:ind w:left="360" w:right="540"/>
        <w:outlineLvl w:val="0"/>
        <w:rPr>
          <w:rFonts w:ascii="Arial" w:hAnsi="Arial" w:cs="Arial"/>
          <w:sz w:val="16"/>
          <w:szCs w:val="16"/>
        </w:rPr>
      </w:pPr>
    </w:p>
    <w:p w:rsidR="00414F13" w:rsidRDefault="00414F13" w:rsidP="00672659">
      <w:pPr>
        <w:ind w:left="360" w:right="540"/>
      </w:pPr>
    </w:p>
    <w:sectPr w:rsidR="00414F13" w:rsidSect="00672659">
      <w:endnotePr>
        <w:numFmt w:val="decimal"/>
      </w:endnotePr>
      <w:pgSz w:w="12240" w:h="15840"/>
      <w:pgMar w:top="540" w:right="720" w:bottom="720" w:left="72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Gothic B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9"/>
    <w:rsid w:val="00371CA0"/>
    <w:rsid w:val="00414F13"/>
    <w:rsid w:val="006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72659"/>
    <w:pPr>
      <w:keepNext/>
      <w:outlineLvl w:val="0"/>
    </w:pPr>
    <w:rPr>
      <w:b/>
      <w:bCs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659"/>
    <w:rPr>
      <w:rFonts w:ascii="Times New Roman" w:eastAsia="Times New Roman" w:hAnsi="Times New Roman" w:cs="Times New Roman"/>
      <w:b/>
      <w:bCs/>
      <w:sz w:val="32"/>
      <w:szCs w:val="16"/>
    </w:rPr>
  </w:style>
  <w:style w:type="table" w:styleId="TableGrid">
    <w:name w:val="Table Grid"/>
    <w:basedOn w:val="TableNormal"/>
    <w:rsid w:val="006726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72659"/>
    <w:pPr>
      <w:keepNext/>
      <w:outlineLvl w:val="0"/>
    </w:pPr>
    <w:rPr>
      <w:b/>
      <w:bCs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659"/>
    <w:rPr>
      <w:rFonts w:ascii="Times New Roman" w:eastAsia="Times New Roman" w:hAnsi="Times New Roman" w:cs="Times New Roman"/>
      <w:b/>
      <w:bCs/>
      <w:sz w:val="32"/>
      <w:szCs w:val="16"/>
    </w:rPr>
  </w:style>
  <w:style w:type="table" w:styleId="TableGrid">
    <w:name w:val="Table Grid"/>
    <w:basedOn w:val="TableNormal"/>
    <w:rsid w:val="006726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2</cp:revision>
  <dcterms:created xsi:type="dcterms:W3CDTF">2012-10-11T18:15:00Z</dcterms:created>
  <dcterms:modified xsi:type="dcterms:W3CDTF">2012-10-11T18:33:00Z</dcterms:modified>
</cp:coreProperties>
</file>