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48"/>
        <w:gridCol w:w="3312"/>
        <w:gridCol w:w="5738"/>
      </w:tblGrid>
      <w:tr w:rsidR="00DA5106" w:rsidRPr="00CE1F02" w:rsidTr="000F3235"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</w:tcPr>
          <w:p w:rsidR="00DA5106" w:rsidRDefault="00DA5106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SITE PLAN AND SUBDIVSION </w:t>
            </w:r>
            <w:r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>LEVEL III REVIEW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(14-526): 72 Bishop</w:t>
            </w:r>
          </w:p>
          <w:p w:rsidR="00DA5106" w:rsidRDefault="00DA5106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52,383 SF site; 21,374 SF building</w:t>
            </w:r>
          </w:p>
          <w:p w:rsidR="00DA5106" w:rsidRDefault="00DA5106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 efficiency units, 12 parking spaces</w:t>
            </w:r>
          </w:p>
          <w:p w:rsidR="00DA5106" w:rsidRPr="00CE1F02" w:rsidRDefault="00DA5106" w:rsidP="00E530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B-2c Zone</w:t>
            </w:r>
          </w:p>
        </w:tc>
      </w:tr>
      <w:tr w:rsidR="00DA5106" w:rsidRPr="00CE1F02" w:rsidTr="000F3235">
        <w:tc>
          <w:tcPr>
            <w:tcW w:w="1948" w:type="dxa"/>
          </w:tcPr>
          <w:p w:rsidR="00DA5106" w:rsidRPr="00741504" w:rsidRDefault="00DA5106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38" w:type="dxa"/>
          </w:tcPr>
          <w:p w:rsidR="00DA5106" w:rsidRPr="00741504" w:rsidRDefault="00DA5106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</w:tr>
      <w:tr w:rsidR="00DA5106" w:rsidRPr="00CE1F02" w:rsidTr="000F3235">
        <w:tc>
          <w:tcPr>
            <w:tcW w:w="1948" w:type="dxa"/>
            <w:vMerge w:val="restart"/>
          </w:tcPr>
          <w:p w:rsidR="00DA5106" w:rsidRPr="00741504" w:rsidRDefault="00DA5106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5738" w:type="dxa"/>
          </w:tcPr>
          <w:p w:rsidR="00DA5106" w:rsidRPr="005273D3" w:rsidRDefault="00B21BB2" w:rsidP="00CE18B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See forthcoming comments from Tom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Errico</w:t>
            </w:r>
            <w:proofErr w:type="spellEnd"/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5738" w:type="dxa"/>
          </w:tcPr>
          <w:p w:rsidR="00DA5106" w:rsidRPr="00DA5106" w:rsidRDefault="00DA5106" w:rsidP="00DA510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Could striping in parking lot be replaced with pervious material?</w:t>
            </w: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5738" w:type="dxa"/>
          </w:tcPr>
          <w:p w:rsidR="00DA5106" w:rsidRPr="00721142" w:rsidRDefault="00DA5106" w:rsidP="00DA5106">
            <w:pPr>
              <w:pStyle w:val="ListParagraph"/>
              <w:numPr>
                <w:ilvl w:val="0"/>
                <w:numId w:val="12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5738" w:type="dxa"/>
          </w:tcPr>
          <w:p w:rsidR="00DA5106" w:rsidRPr="00C86CD5" w:rsidRDefault="00DA5106" w:rsidP="00DA5106">
            <w:pPr>
              <w:pStyle w:val="ListParagraph"/>
              <w:numPr>
                <w:ilvl w:val="0"/>
                <w:numId w:val="12"/>
              </w:numPr>
              <w:ind w:left="50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5738" w:type="dxa"/>
          </w:tcPr>
          <w:p w:rsidR="00DA5106" w:rsidRPr="00C86CD5" w:rsidRDefault="00DA5106" w:rsidP="00C86CD5">
            <w:pPr>
              <w:pStyle w:val="ListParagraph"/>
              <w:numPr>
                <w:ilvl w:val="0"/>
                <w:numId w:val="7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1948" w:type="dxa"/>
            <w:vMerge w:val="restart"/>
          </w:tcPr>
          <w:p w:rsidR="00DA5106" w:rsidRPr="00741504" w:rsidRDefault="00DA5106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5738" w:type="dxa"/>
          </w:tcPr>
          <w:p w:rsidR="00DA5106" w:rsidRPr="00F44903" w:rsidRDefault="00DA5106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5738" w:type="dxa"/>
          </w:tcPr>
          <w:p w:rsidR="001E072B" w:rsidRPr="001E072B" w:rsidRDefault="00EC0B7A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1E07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Are there trees in the setback on the Mason’s side that are required to be preserved under </w:t>
            </w:r>
            <w:r w:rsidR="001E072B" w:rsidRPr="001E07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14-526 (min or 30% of existing trees 10 </w:t>
            </w:r>
            <w:proofErr w:type="spellStart"/>
            <w:r w:rsidR="001E072B" w:rsidRPr="001E072B">
              <w:rPr>
                <w:rFonts w:asciiTheme="minorHAnsi" w:hAnsiTheme="minorHAnsi" w:cstheme="minorHAnsi"/>
                <w:i/>
                <w:sz w:val="20"/>
                <w:szCs w:val="20"/>
              </w:rPr>
              <w:t>dbh</w:t>
            </w:r>
            <w:proofErr w:type="spellEnd"/>
            <w:r w:rsidR="001E072B" w:rsidRPr="001E07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greater with</w:t>
            </w:r>
            <w:r w:rsidR="001E072B">
              <w:rPr>
                <w:rFonts w:asciiTheme="minorHAnsi" w:hAnsiTheme="minorHAnsi" w:cstheme="minorHAnsi"/>
                <w:i/>
                <w:sz w:val="20"/>
                <w:szCs w:val="20"/>
              </w:rPr>
              <w:t>in setback should be preserved)?</w:t>
            </w:r>
          </w:p>
          <w:p w:rsidR="00DA5106" w:rsidRPr="001E072B" w:rsidRDefault="001E072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1E07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DA5106" w:rsidRPr="001E072B">
              <w:rPr>
                <w:rFonts w:asciiTheme="minorHAnsi" w:hAnsiTheme="minorHAnsi" w:cstheme="minorHAnsi"/>
                <w:sz w:val="20"/>
                <w:szCs w:val="20"/>
              </w:rPr>
              <w:t xml:space="preserve">Street tree standard for multi-family (TM 4.6.1):1 tree/unit in ROW (30 units = </w:t>
            </w:r>
            <w:r w:rsidR="00DA5106" w:rsidRPr="001E072B">
              <w:rPr>
                <w:rFonts w:asciiTheme="minorHAnsi" w:hAnsiTheme="minorHAnsi" w:cstheme="minorHAnsi"/>
                <w:sz w:val="20"/>
                <w:szCs w:val="20"/>
                <w:bdr w:val="single" w:sz="4" w:space="0" w:color="auto"/>
              </w:rPr>
              <w:t>30 street trees</w:t>
            </w:r>
            <w:proofErr w:type="gramStart"/>
            <w:r w:rsidR="00DA5106" w:rsidRPr="001E072B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Waiver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request.  </w:t>
            </w:r>
            <w:r w:rsidR="00DA5106" w:rsidRPr="001E072B">
              <w:rPr>
                <w:rFonts w:asciiTheme="minorHAnsi" w:hAnsiTheme="minorHAnsi" w:cstheme="minorHAnsi"/>
                <w:i/>
                <w:sz w:val="20"/>
                <w:szCs w:val="20"/>
              </w:rPr>
              <w:t>Waiver language (14-526(b</w:t>
            </w:r>
            <w:proofErr w:type="gramStart"/>
            <w:r w:rsidR="00DA5106" w:rsidRPr="001E072B">
              <w:rPr>
                <w:rFonts w:asciiTheme="minorHAnsi" w:hAnsiTheme="minorHAnsi" w:cstheme="minorHAnsi"/>
                <w:i/>
                <w:sz w:val="20"/>
                <w:szCs w:val="20"/>
              </w:rPr>
              <w:t>)2b</w:t>
            </w:r>
            <w:proofErr w:type="gramEnd"/>
            <w:r w:rsidR="00DA5106" w:rsidRPr="001E072B">
              <w:rPr>
                <w:rFonts w:asciiTheme="minorHAnsi" w:hAnsiTheme="minorHAnsi" w:cstheme="minorHAnsi"/>
                <w:i/>
                <w:sz w:val="20"/>
                <w:szCs w:val="20"/>
              </w:rPr>
              <w:t>(iii)(b)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DA5106" w:rsidRPr="001E07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qualifies planting w/in 10 feet of property line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toward street tree requirement</w:t>
            </w:r>
            <w:r w:rsidR="00DA5106" w:rsidRPr="001E07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 Only </w:t>
            </w:r>
            <w:proofErr w:type="gramStart"/>
            <w:r w:rsidR="00DA5106" w:rsidRPr="001E07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one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DA5106" w:rsidRPr="001E072B">
              <w:rPr>
                <w:rFonts w:asciiTheme="minorHAnsi" w:hAnsiTheme="minorHAnsi" w:cstheme="minorHAnsi"/>
                <w:i/>
                <w:sz w:val="20"/>
                <w:szCs w:val="20"/>
              </w:rPr>
              <w:t>tree</w:t>
            </w:r>
            <w:proofErr w:type="gramEnd"/>
            <w:r w:rsidR="00DA5106" w:rsidRPr="001E07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meets 10’ setback.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Add street tree to west of driveway entrance.</w:t>
            </w:r>
          </w:p>
          <w:p w:rsidR="001E072B" w:rsidRPr="001E072B" w:rsidRDefault="00DA5106" w:rsidP="001E072B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C86CD5">
              <w:rPr>
                <w:rFonts w:asciiTheme="minorHAnsi" w:hAnsiTheme="minorHAnsi" w:cstheme="minorHAnsi"/>
                <w:sz w:val="20"/>
                <w:szCs w:val="20"/>
              </w:rPr>
              <w:t>Understory plantings standard (14-526(b</w:t>
            </w:r>
            <w:proofErr w:type="gramStart"/>
            <w:r w:rsidRPr="00C86CD5">
              <w:rPr>
                <w:rFonts w:asciiTheme="minorHAnsi" w:hAnsiTheme="minorHAnsi" w:cstheme="minorHAnsi"/>
                <w:sz w:val="20"/>
                <w:szCs w:val="20"/>
              </w:rPr>
              <w:t>)2b</w:t>
            </w:r>
            <w:proofErr w:type="gramEnd"/>
            <w:r w:rsidRPr="00C86CD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C86CD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86CD5">
              <w:rPr>
                <w:rFonts w:asciiTheme="minorHAnsi" w:hAnsiTheme="minorHAnsi" w:cstheme="minorHAnsi"/>
                <w:sz w:val="20"/>
                <w:szCs w:val="20"/>
              </w:rPr>
              <w:t>)(b)): 6 shrubs (or ornamental grass)/45 LF of all frontages (50’ in frontage line/45=1+*6=</w:t>
            </w:r>
            <w:r w:rsidR="001E072B">
              <w:rPr>
                <w:rFonts w:asciiTheme="minorHAnsi" w:hAnsiTheme="minorHAnsi" w:cstheme="minorHAnsi"/>
                <w:sz w:val="20"/>
                <w:szCs w:val="20"/>
                <w:bdr w:val="single" w:sz="4" w:space="0" w:color="auto"/>
              </w:rPr>
              <w:t>7</w:t>
            </w:r>
            <w:r w:rsidRPr="00C86CD5">
              <w:rPr>
                <w:rFonts w:asciiTheme="minorHAnsi" w:hAnsiTheme="minorHAnsi" w:cstheme="minorHAnsi"/>
                <w:sz w:val="20"/>
                <w:szCs w:val="20"/>
              </w:rPr>
              <w:t>)  25 provided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E07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7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Could some of landscaping be moved/added to Bishop Street frontage?</w:t>
            </w:r>
            <w:r w:rsidR="000F32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Along Mason’s line?  This area feel</w:t>
            </w:r>
            <w:r w:rsidR="00F6414A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="000F32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stark.</w:t>
            </w:r>
          </w:p>
          <w:p w:rsidR="00DA5106" w:rsidRPr="00892F77" w:rsidRDefault="001E072B" w:rsidP="001E072B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Provide</w:t>
            </w:r>
            <w:r w:rsidR="00DA510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details on fences</w:t>
            </w:r>
            <w:r w:rsidR="00F641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guardrail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5738" w:type="dxa"/>
          </w:tcPr>
          <w:p w:rsidR="00DA5106" w:rsidRPr="00331C1D" w:rsidRDefault="00B21BB2" w:rsidP="001E072B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See comments from David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Senus</w:t>
            </w:r>
            <w:proofErr w:type="spellEnd"/>
          </w:p>
        </w:tc>
      </w:tr>
      <w:tr w:rsidR="00DA5106" w:rsidRPr="00CE1F02" w:rsidTr="000F3235">
        <w:tc>
          <w:tcPr>
            <w:tcW w:w="1948" w:type="dxa"/>
            <w:vMerge w:val="restart"/>
          </w:tcPr>
          <w:p w:rsidR="00DA5106" w:rsidRPr="00741504" w:rsidRDefault="00DA5106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5738" w:type="dxa"/>
          </w:tcPr>
          <w:p w:rsidR="00DA5106" w:rsidRPr="00FC79F3" w:rsidRDefault="00DA5106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</w:t>
            </w: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5738" w:type="dxa"/>
          </w:tcPr>
          <w:p w:rsidR="00DA5106" w:rsidRPr="00B859D2" w:rsidRDefault="001E072B" w:rsidP="00F6414A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During the zone change review, we received some public safety statistics from police, but deferred discussion to s</w:t>
            </w:r>
            <w:r w:rsidR="00F641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ite plan review.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10/10 memo from Vern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Malloch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will be included in </w:t>
            </w:r>
            <w:r w:rsidR="00F6414A">
              <w:rPr>
                <w:rFonts w:asciiTheme="minorHAnsi" w:hAnsiTheme="minorHAnsi" w:cstheme="minorHAnsi"/>
                <w:i/>
                <w:sz w:val="20"/>
                <w:szCs w:val="20"/>
              </w:rPr>
              <w:t>PB write-up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5738" w:type="dxa"/>
          </w:tcPr>
          <w:p w:rsidR="00DA5106" w:rsidRPr="00C10659" w:rsidRDefault="000F3235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Verification of s</w:t>
            </w:r>
            <w:r w:rsidR="00DA5106" w:rsidRPr="00C106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ewer capacity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needed.</w:t>
            </w:r>
          </w:p>
          <w:p w:rsidR="00DA5106" w:rsidRPr="00B859D2" w:rsidRDefault="000F3235" w:rsidP="000F3235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Plans should show electrical service underground.</w:t>
            </w:r>
          </w:p>
        </w:tc>
      </w:tr>
      <w:tr w:rsidR="00DA5106" w:rsidRPr="00CE1F02" w:rsidTr="000F3235">
        <w:tc>
          <w:tcPr>
            <w:tcW w:w="1948" w:type="dxa"/>
            <w:vMerge w:val="restart"/>
          </w:tcPr>
          <w:p w:rsidR="00DA5106" w:rsidRPr="00741504" w:rsidRDefault="00DA5106" w:rsidP="00AE68DE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5738" w:type="dxa"/>
          </w:tcPr>
          <w:p w:rsidR="00DA5106" w:rsidRPr="00C10659" w:rsidRDefault="000F3235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Provide details on location of HVAC /mechanical.</w:t>
            </w: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5738" w:type="dxa"/>
          </w:tcPr>
          <w:p w:rsidR="00DA5106" w:rsidRPr="00022AEC" w:rsidRDefault="00DA5106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5738" w:type="dxa"/>
          </w:tcPr>
          <w:p w:rsidR="00DA5106" w:rsidRPr="00CE1F02" w:rsidRDefault="00DA5106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5738" w:type="dxa"/>
          </w:tcPr>
          <w:p w:rsidR="00DA5106" w:rsidRPr="00E36033" w:rsidRDefault="00DA5106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5738" w:type="dxa"/>
          </w:tcPr>
          <w:p w:rsidR="00DA5106" w:rsidRPr="0037094A" w:rsidRDefault="00DA5106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5738" w:type="dxa"/>
          </w:tcPr>
          <w:p w:rsidR="00DA5106" w:rsidRPr="00C10659" w:rsidRDefault="000F3235" w:rsidP="000F3235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details on site lighting and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photometrics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final review.</w:t>
            </w: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741504" w:rsidRDefault="00DA5106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741504" w:rsidRDefault="00DA5106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5738" w:type="dxa"/>
          </w:tcPr>
          <w:p w:rsidR="00DA5106" w:rsidRPr="00B21BB2" w:rsidRDefault="00B21BB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1BB2">
              <w:rPr>
                <w:rFonts w:asciiTheme="minorHAnsi" w:hAnsiTheme="minorHAnsi" w:cstheme="minorHAnsi"/>
                <w:i/>
                <w:sz w:val="20"/>
                <w:szCs w:val="20"/>
              </w:rPr>
              <w:t>Provide HVAC specs in final submittal</w:t>
            </w: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CE1F02" w:rsidRDefault="00DA5106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CE1F02" w:rsidRDefault="00DA5106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 xml:space="preserve">Signage and </w:t>
            </w:r>
            <w:proofErr w:type="spellStart"/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Wayfinding</w:t>
            </w:r>
            <w:proofErr w:type="spellEnd"/>
          </w:p>
        </w:tc>
        <w:tc>
          <w:tcPr>
            <w:tcW w:w="5738" w:type="dxa"/>
          </w:tcPr>
          <w:p w:rsidR="00DA5106" w:rsidRPr="00CE1F02" w:rsidRDefault="00DA5106" w:rsidP="00AE68DE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1948" w:type="dxa"/>
            <w:vMerge/>
          </w:tcPr>
          <w:p w:rsidR="00DA5106" w:rsidRPr="00CE1F02" w:rsidRDefault="00DA5106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5106" w:rsidRPr="00CE1F02" w:rsidRDefault="00DA5106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(B-1b design guidelines)</w:t>
            </w:r>
          </w:p>
        </w:tc>
        <w:tc>
          <w:tcPr>
            <w:tcW w:w="5738" w:type="dxa"/>
          </w:tcPr>
          <w:p w:rsidR="00DA5106" w:rsidRPr="00621B4C" w:rsidRDefault="00B21BB2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See Caitlin Cameron comments</w:t>
            </w:r>
          </w:p>
        </w:tc>
      </w:tr>
    </w:tbl>
    <w:p w:rsidR="00CE1F02" w:rsidRPr="00CE1F02" w:rsidRDefault="00CE1F02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319"/>
        <w:gridCol w:w="6679"/>
      </w:tblGrid>
      <w:tr w:rsidR="00EC0B7A" w:rsidRPr="00CE1F02" w:rsidTr="000F3235"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</w:tcPr>
          <w:p w:rsidR="00EC0B7A" w:rsidRPr="00CE1F02" w:rsidRDefault="00EC0B7A" w:rsidP="00066B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SUBDIVISION REVIEW (14-497)</w:t>
            </w:r>
          </w:p>
        </w:tc>
      </w:tr>
      <w:tr w:rsidR="00DA5106" w:rsidRPr="00CE1F02" w:rsidTr="000F3235">
        <w:tc>
          <w:tcPr>
            <w:tcW w:w="4319" w:type="dxa"/>
          </w:tcPr>
          <w:p w:rsidR="00DA5106" w:rsidRPr="00741504" w:rsidRDefault="00DA5106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9" w:type="dxa"/>
          </w:tcPr>
          <w:p w:rsidR="00DA5106" w:rsidRPr="00741504" w:rsidRDefault="00DA5106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</w:tr>
      <w:tr w:rsidR="00DA5106" w:rsidRPr="00CE1F02" w:rsidTr="000F3235">
        <w:tc>
          <w:tcPr>
            <w:tcW w:w="4319" w:type="dxa"/>
          </w:tcPr>
          <w:p w:rsidR="00DA5106" w:rsidRPr="008C5A54" w:rsidRDefault="00DA5106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Water/Air Pollution</w:t>
            </w:r>
          </w:p>
        </w:tc>
        <w:tc>
          <w:tcPr>
            <w:tcW w:w="6679" w:type="dxa"/>
          </w:tcPr>
          <w:p w:rsidR="00DA5106" w:rsidRPr="005B5A54" w:rsidRDefault="00DA5106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4319" w:type="dxa"/>
          </w:tcPr>
          <w:p w:rsidR="00DA5106" w:rsidRPr="008C5A54" w:rsidRDefault="00DA5106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36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3. Water Supply</w:t>
            </w:r>
          </w:p>
        </w:tc>
        <w:tc>
          <w:tcPr>
            <w:tcW w:w="6679" w:type="dxa"/>
          </w:tcPr>
          <w:p w:rsidR="00DA5106" w:rsidRPr="005B5A54" w:rsidRDefault="00DA5106" w:rsidP="00066B52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4319" w:type="dxa"/>
          </w:tcPr>
          <w:p w:rsidR="00DA5106" w:rsidRPr="008C5A54" w:rsidRDefault="00DA5106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Erosion</w:t>
            </w:r>
          </w:p>
        </w:tc>
        <w:tc>
          <w:tcPr>
            <w:tcW w:w="6679" w:type="dxa"/>
          </w:tcPr>
          <w:p w:rsidR="00DA5106" w:rsidRPr="005B5A54" w:rsidRDefault="00DA5106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4319" w:type="dxa"/>
          </w:tcPr>
          <w:p w:rsidR="00DA5106" w:rsidRPr="008C5A54" w:rsidRDefault="00DA5106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 Impacts</w:t>
            </w:r>
          </w:p>
        </w:tc>
        <w:tc>
          <w:tcPr>
            <w:tcW w:w="6679" w:type="dxa"/>
          </w:tcPr>
          <w:p w:rsidR="00DA5106" w:rsidRPr="005B5A54" w:rsidRDefault="00DA5106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4319" w:type="dxa"/>
          </w:tcPr>
          <w:p w:rsidR="00DA5106" w:rsidRPr="008C5A54" w:rsidRDefault="00DA5106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Sanitary Sewer/</w:t>
            </w:r>
            <w:proofErr w:type="spellStart"/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6679" w:type="dxa"/>
          </w:tcPr>
          <w:p w:rsidR="00DA5106" w:rsidRPr="00F44903" w:rsidRDefault="00DA5106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4319" w:type="dxa"/>
          </w:tcPr>
          <w:p w:rsidR="00DA5106" w:rsidRPr="008C5A54" w:rsidRDefault="00DA5106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Solid Waste</w:t>
            </w:r>
          </w:p>
        </w:tc>
        <w:tc>
          <w:tcPr>
            <w:tcW w:w="6679" w:type="dxa"/>
          </w:tcPr>
          <w:p w:rsidR="00DA5106" w:rsidRPr="00F44903" w:rsidRDefault="00DA5106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4319" w:type="dxa"/>
          </w:tcPr>
          <w:p w:rsidR="00DA5106" w:rsidRPr="008C5A54" w:rsidRDefault="00DA5106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Scenic Beauty</w:t>
            </w:r>
          </w:p>
        </w:tc>
        <w:tc>
          <w:tcPr>
            <w:tcW w:w="6679" w:type="dxa"/>
          </w:tcPr>
          <w:p w:rsidR="00DA5106" w:rsidRPr="005B5A54" w:rsidRDefault="00DA5106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4319" w:type="dxa"/>
          </w:tcPr>
          <w:p w:rsidR="00DA5106" w:rsidRPr="008C5A54" w:rsidRDefault="00DA5106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Comprehensive Plan</w:t>
            </w:r>
          </w:p>
        </w:tc>
        <w:tc>
          <w:tcPr>
            <w:tcW w:w="6679" w:type="dxa"/>
          </w:tcPr>
          <w:p w:rsidR="00DA5106" w:rsidRPr="00F44903" w:rsidRDefault="00DA5106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4319" w:type="dxa"/>
          </w:tcPr>
          <w:p w:rsidR="00DA5106" w:rsidRPr="008C5A54" w:rsidRDefault="00DA5106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Financial and Technical Capacity</w:t>
            </w:r>
          </w:p>
        </w:tc>
        <w:tc>
          <w:tcPr>
            <w:tcW w:w="6679" w:type="dxa"/>
          </w:tcPr>
          <w:p w:rsidR="00DA5106" w:rsidRPr="00CE1F02" w:rsidRDefault="00DA5106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4319" w:type="dxa"/>
          </w:tcPr>
          <w:p w:rsidR="00DA5106" w:rsidRPr="008C5A54" w:rsidRDefault="00DA5106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Wetland Impacts</w:t>
            </w:r>
          </w:p>
        </w:tc>
        <w:tc>
          <w:tcPr>
            <w:tcW w:w="6679" w:type="dxa"/>
          </w:tcPr>
          <w:p w:rsidR="00DA5106" w:rsidRPr="00CE1F02" w:rsidRDefault="00DA5106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4319" w:type="dxa"/>
          </w:tcPr>
          <w:p w:rsidR="00DA5106" w:rsidRPr="008C5A54" w:rsidRDefault="00DA5106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Groundwater Impacts</w:t>
            </w:r>
          </w:p>
        </w:tc>
        <w:tc>
          <w:tcPr>
            <w:tcW w:w="6679" w:type="dxa"/>
          </w:tcPr>
          <w:p w:rsidR="00DA5106" w:rsidRPr="005B5A54" w:rsidRDefault="00DA5106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06" w:rsidRPr="00CE1F02" w:rsidTr="000F3235">
        <w:tc>
          <w:tcPr>
            <w:tcW w:w="4319" w:type="dxa"/>
          </w:tcPr>
          <w:p w:rsidR="00DA5106" w:rsidRPr="00A1284E" w:rsidRDefault="00DA5106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84E">
              <w:rPr>
                <w:rFonts w:asciiTheme="minorHAnsi" w:hAnsiTheme="minorHAnsi" w:cstheme="minorHAnsi"/>
                <w:b/>
                <w:sz w:val="20"/>
                <w:szCs w:val="20"/>
              </w:rPr>
              <w:t>Flood-Prone Area?</w:t>
            </w:r>
          </w:p>
        </w:tc>
        <w:tc>
          <w:tcPr>
            <w:tcW w:w="6679" w:type="dxa"/>
          </w:tcPr>
          <w:p w:rsidR="00DA5106" w:rsidRPr="00A1284E" w:rsidRDefault="00DA5106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C5A54" w:rsidRPr="00E53288" w:rsidRDefault="008C5A54" w:rsidP="00AE68DE"/>
    <w:p w:rsidR="00015F8E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</w:t>
      </w:r>
      <w:r w:rsidR="000F3235">
        <w:rPr>
          <w:rFonts w:asciiTheme="minorHAnsi" w:hAnsiTheme="minorHAnsi" w:cstheme="minorHAnsi"/>
          <w:b/>
          <w:sz w:val="20"/>
          <w:szCs w:val="20"/>
        </w:rPr>
        <w:t>ight, Title, Interest</w:t>
      </w:r>
    </w:p>
    <w:p w:rsidR="00015F8E" w:rsidRDefault="000F3235" w:rsidP="00AE68D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Provide easement as needed for electric</w:t>
      </w:r>
      <w:r w:rsidR="00B859D2" w:rsidRPr="00B859D2">
        <w:rPr>
          <w:rFonts w:asciiTheme="minorHAnsi" w:hAnsiTheme="minorHAnsi" w:cstheme="minorHAnsi"/>
          <w:i/>
          <w:sz w:val="20"/>
          <w:szCs w:val="20"/>
        </w:rPr>
        <w:t>/co</w:t>
      </w:r>
      <w:r w:rsidR="00F6414A">
        <w:rPr>
          <w:rFonts w:asciiTheme="minorHAnsi" w:hAnsiTheme="minorHAnsi" w:cstheme="minorHAnsi"/>
          <w:i/>
          <w:sz w:val="20"/>
          <w:szCs w:val="20"/>
        </w:rPr>
        <w:t>mmunications from Masonic Lodge</w:t>
      </w:r>
    </w:p>
    <w:p w:rsidR="005A75EE" w:rsidRPr="00B859D2" w:rsidRDefault="005A75EE" w:rsidP="00AE68D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Will need easement for sidewalk grading to east of site</w:t>
      </w:r>
    </w:p>
    <w:p w:rsidR="00B859D2" w:rsidRDefault="00B859D2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2D2D41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Zoning</w:t>
      </w:r>
    </w:p>
    <w:p w:rsidR="000F3235" w:rsidRDefault="00DE045A" w:rsidP="00E40676">
      <w:pPr>
        <w:autoSpaceDE w:val="0"/>
        <w:autoSpaceDN w:val="0"/>
        <w:adjustRightInd w:val="0"/>
        <w:rPr>
          <w:rFonts w:asciiTheme="minorHAnsi" w:eastAsiaTheme="minorHAnsi" w:hAnsiTheme="minorHAnsi" w:cs="Courier New,Italic"/>
          <w:i/>
          <w:iCs/>
          <w:sz w:val="20"/>
          <w:szCs w:val="20"/>
        </w:rPr>
      </w:pPr>
      <w:r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Plans do not meet zoning provisions </w:t>
      </w:r>
      <w:r w:rsidR="00F6414A">
        <w:rPr>
          <w:rFonts w:asciiTheme="minorHAnsi" w:eastAsiaTheme="minorHAnsi" w:hAnsiTheme="minorHAnsi" w:cs="Courier New,Italic"/>
          <w:i/>
          <w:iCs/>
          <w:sz w:val="20"/>
          <w:szCs w:val="20"/>
        </w:rPr>
        <w:t>related to</w:t>
      </w:r>
      <w:r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creating a ‘continuous, attractive, and pedestrian-scaled edge treatment’ along the street (see </w:t>
      </w:r>
      <w:r w:rsidR="00F6414A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excerpt </w:t>
      </w:r>
      <w:r>
        <w:rPr>
          <w:rFonts w:asciiTheme="minorHAnsi" w:eastAsiaTheme="minorHAnsi" w:hAnsiTheme="minorHAnsi" w:cs="Courier New,Italic"/>
          <w:i/>
          <w:iCs/>
          <w:sz w:val="20"/>
          <w:szCs w:val="20"/>
        </w:rPr>
        <w:t>below).  Provide additional street tree (as noted above), as well as additional landscaping.</w:t>
      </w:r>
    </w:p>
    <w:p w:rsidR="000F3235" w:rsidRDefault="000F3235" w:rsidP="00E40676">
      <w:pPr>
        <w:autoSpaceDE w:val="0"/>
        <w:autoSpaceDN w:val="0"/>
        <w:adjustRightInd w:val="0"/>
        <w:rPr>
          <w:rFonts w:asciiTheme="minorHAnsi" w:eastAsiaTheme="minorHAnsi" w:hAnsiTheme="minorHAnsi" w:cs="Courier New,Italic"/>
          <w:i/>
          <w:iCs/>
          <w:sz w:val="20"/>
          <w:szCs w:val="20"/>
        </w:rPr>
      </w:pPr>
    </w:p>
    <w:p w:rsidR="00F6414A" w:rsidRDefault="00F6414A" w:rsidP="00DE045A">
      <w:pPr>
        <w:autoSpaceDE w:val="0"/>
        <w:autoSpaceDN w:val="0"/>
        <w:adjustRightInd w:val="0"/>
        <w:ind w:left="900" w:right="810"/>
        <w:rPr>
          <w:rFonts w:asciiTheme="minorHAnsi" w:eastAsiaTheme="minorHAnsi" w:hAnsiTheme="minorHAnsi" w:cs="Courier New,Italic"/>
          <w:i/>
          <w:iCs/>
          <w:sz w:val="20"/>
          <w:szCs w:val="20"/>
        </w:rPr>
      </w:pPr>
      <w:r>
        <w:rPr>
          <w:rFonts w:asciiTheme="minorHAnsi" w:eastAsiaTheme="minorHAnsi" w:hAnsiTheme="minorHAnsi" w:cs="Courier New,Italic"/>
          <w:i/>
          <w:iCs/>
          <w:sz w:val="20"/>
          <w:szCs w:val="20"/>
        </w:rPr>
        <w:t>B-2/B-2b</w:t>
      </w:r>
      <w:r w:rsidR="00CB3202">
        <w:rPr>
          <w:rFonts w:asciiTheme="minorHAnsi" w:eastAsiaTheme="minorHAnsi" w:hAnsiTheme="minorHAnsi" w:cs="Courier New,Italic"/>
          <w:i/>
          <w:iCs/>
          <w:sz w:val="20"/>
          <w:szCs w:val="20"/>
        </w:rPr>
        <w:t>/B-2c</w:t>
      </w:r>
    </w:p>
    <w:p w:rsidR="00E530C3" w:rsidRPr="00B859D2" w:rsidRDefault="000F3235" w:rsidP="00DE045A">
      <w:pPr>
        <w:autoSpaceDE w:val="0"/>
        <w:autoSpaceDN w:val="0"/>
        <w:adjustRightInd w:val="0"/>
        <w:ind w:left="900" w:right="810"/>
        <w:rPr>
          <w:rFonts w:asciiTheme="minorHAnsi" w:eastAsiaTheme="minorHAnsi" w:hAnsiTheme="minorHAnsi" w:cs="Courier New,Italic"/>
          <w:i/>
          <w:iCs/>
          <w:sz w:val="20"/>
          <w:szCs w:val="20"/>
        </w:rPr>
      </w:pPr>
      <w:r>
        <w:rPr>
          <w:rFonts w:asciiTheme="minorHAnsi" w:eastAsiaTheme="minorHAnsi" w:hAnsiTheme="minorHAnsi" w:cs="Courier New,Italic"/>
          <w:i/>
          <w:iCs/>
          <w:sz w:val="20"/>
          <w:szCs w:val="20"/>
        </w:rPr>
        <w:t>Front yard max</w:t>
      </w:r>
      <w:r w:rsidR="00A30EFA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: 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>No more than 10 feet, except that the Planning Board or Planning Authority may approve a different amount for irregularly shaped lots or lots with frontage less than 40 feet</w:t>
      </w:r>
      <w:r w:rsidR="00A30EFA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>provided this standard is met to the maximum extent practicable.</w:t>
      </w:r>
      <w:r w:rsidR="00E40676" w:rsidRPr="000F3235">
        <w:rPr>
          <w:rFonts w:asciiTheme="minorHAnsi" w:eastAsiaTheme="minorHAnsi" w:hAnsiTheme="minorHAnsi" w:cs="Courier New,Italic"/>
          <w:i/>
          <w:iCs/>
          <w:sz w:val="20"/>
          <w:szCs w:val="20"/>
          <w:vertAlign w:val="superscript"/>
        </w:rPr>
        <w:t>2</w:t>
      </w:r>
    </w:p>
    <w:p w:rsidR="00E40676" w:rsidRPr="00B859D2" w:rsidRDefault="00E40676" w:rsidP="00DE045A">
      <w:pPr>
        <w:autoSpaceDE w:val="0"/>
        <w:autoSpaceDN w:val="0"/>
        <w:adjustRightInd w:val="0"/>
        <w:ind w:left="900" w:right="810"/>
        <w:rPr>
          <w:rFonts w:asciiTheme="minorHAnsi" w:hAnsiTheme="minorHAnsi" w:cstheme="minorHAnsi"/>
          <w:sz w:val="20"/>
          <w:szCs w:val="20"/>
        </w:rPr>
      </w:pPr>
    </w:p>
    <w:p w:rsidR="00E530C3" w:rsidRPr="00B859D2" w:rsidRDefault="00E530C3" w:rsidP="00DE045A">
      <w:pPr>
        <w:autoSpaceDE w:val="0"/>
        <w:autoSpaceDN w:val="0"/>
        <w:adjustRightInd w:val="0"/>
        <w:ind w:left="900" w:right="810"/>
        <w:rPr>
          <w:rFonts w:asciiTheme="minorHAnsi" w:eastAsiaTheme="minorHAnsi" w:hAnsiTheme="minorHAnsi" w:cs="Courier New,Italic"/>
          <w:i/>
          <w:iCs/>
          <w:sz w:val="20"/>
          <w:szCs w:val="20"/>
        </w:rPr>
      </w:pPr>
      <w:r w:rsidRPr="000F3235">
        <w:rPr>
          <w:rFonts w:asciiTheme="minorHAnsi" w:eastAsiaTheme="minorHAnsi" w:hAnsiTheme="minorHAnsi" w:cs="Courier New,Italic"/>
          <w:i/>
          <w:iCs/>
          <w:sz w:val="20"/>
          <w:szCs w:val="20"/>
          <w:vertAlign w:val="superscript"/>
        </w:rPr>
        <w:t>2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If lot has less than 40 feet of frontage and is more than 100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feet deep then no 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maximum setback is required. If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>existing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>structures are within 20 feet of the street or meet the front</w:t>
      </w:r>
      <w:r w:rsidR="00E40676"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B859D2">
        <w:rPr>
          <w:rFonts w:asciiTheme="minorHAnsi" w:eastAsiaTheme="minorHAnsi" w:hAnsiTheme="minorHAnsi" w:cs="Courier New,Italic"/>
          <w:i/>
          <w:iCs/>
          <w:sz w:val="20"/>
          <w:szCs w:val="20"/>
        </w:rPr>
        <w:t>yard maximum, and remainder of l</w:t>
      </w:r>
      <w:r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>ot has less than 40 feet of</w:t>
      </w:r>
      <w:r w:rsidR="00E40676"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>frontage, then no maximum setback is required. Where setbacks</w:t>
      </w:r>
      <w:r w:rsidR="00E40676"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>exceed 10 feet, a continuous, attractive, and pedestrian-scaled</w:t>
      </w:r>
      <w:r w:rsidR="00E40676"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>edge treatment shall be constructed along the street, consisting</w:t>
      </w:r>
      <w:r w:rsidR="00E40676"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>of street trees spaced at no more than 15 feet on center,</w:t>
      </w:r>
      <w:r w:rsidR="00E40676"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>approved by C</w:t>
      </w:r>
      <w:r w:rsidR="000F3235"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>ity arborist, and a combination</w:t>
      </w:r>
      <w:r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of landscaping no</w:t>
      </w:r>
      <w:r w:rsidR="00E40676"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>less than 4 feet deep, ornamental brick or stone walls or</w:t>
      </w:r>
      <w:r w:rsidR="00E40676"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 xml:space="preserve"> </w:t>
      </w:r>
      <w:r w:rsidRPr="00D61982">
        <w:rPr>
          <w:rFonts w:asciiTheme="minorHAnsi" w:eastAsiaTheme="minorHAnsi" w:hAnsiTheme="minorHAnsi" w:cs="Courier New,Italic"/>
          <w:i/>
          <w:iCs/>
          <w:sz w:val="20"/>
          <w:szCs w:val="20"/>
        </w:rPr>
        <w:t>ornamental fencing.</w:t>
      </w:r>
    </w:p>
    <w:p w:rsidR="00A30EFA" w:rsidRDefault="00A30EFA" w:rsidP="00DE045A">
      <w:pPr>
        <w:autoSpaceDE w:val="0"/>
        <w:autoSpaceDN w:val="0"/>
        <w:adjustRightInd w:val="0"/>
        <w:ind w:left="900" w:right="810"/>
        <w:rPr>
          <w:rFonts w:ascii="Courier New,Italic" w:eastAsiaTheme="minorHAnsi" w:hAnsi="Courier New,Italic" w:cs="Courier New,Italic"/>
          <w:i/>
          <w:iCs/>
          <w:sz w:val="20"/>
          <w:szCs w:val="20"/>
        </w:rPr>
      </w:pPr>
    </w:p>
    <w:p w:rsidR="000F3235" w:rsidRDefault="000F3235" w:rsidP="00E4067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  <w:sectPr w:rsidR="000F3235" w:rsidSect="000F3235">
          <w:pgSz w:w="12240" w:h="15840" w:code="1"/>
          <w:pgMar w:top="1440" w:right="1440" w:bottom="1440" w:left="810" w:header="720" w:footer="720" w:gutter="0"/>
          <w:cols w:space="720"/>
          <w:docGrid w:linePitch="360"/>
        </w:sectPr>
      </w:pPr>
    </w:p>
    <w:p w:rsidR="00A30EFA" w:rsidRPr="009A7ABE" w:rsidRDefault="00A30EFA" w:rsidP="00E4067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A30EFA" w:rsidRPr="009A7ABE" w:rsidSect="000F3235">
      <w:type w:val="continuous"/>
      <w:pgSz w:w="12240" w:h="15840" w:code="1"/>
      <w:pgMar w:top="1440" w:right="1440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D0DDB"/>
    <w:multiLevelType w:val="hybridMultilevel"/>
    <w:tmpl w:val="9D983858"/>
    <w:lvl w:ilvl="0" w:tplc="DD348C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950B7A"/>
    <w:multiLevelType w:val="hybridMultilevel"/>
    <w:tmpl w:val="1B061B02"/>
    <w:lvl w:ilvl="0" w:tplc="635882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5C0C"/>
    <w:multiLevelType w:val="hybridMultilevel"/>
    <w:tmpl w:val="F24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6E53"/>
    <w:multiLevelType w:val="hybridMultilevel"/>
    <w:tmpl w:val="1722D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92778"/>
    <w:multiLevelType w:val="hybridMultilevel"/>
    <w:tmpl w:val="049082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2F185D"/>
    <w:multiLevelType w:val="hybridMultilevel"/>
    <w:tmpl w:val="A4246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4A5A50"/>
    <w:multiLevelType w:val="hybridMultilevel"/>
    <w:tmpl w:val="D1E4A024"/>
    <w:lvl w:ilvl="0" w:tplc="2A70611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A84C89"/>
    <w:multiLevelType w:val="hybridMultilevel"/>
    <w:tmpl w:val="4C609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015F8E"/>
    <w:rsid w:val="00022AEC"/>
    <w:rsid w:val="000343CA"/>
    <w:rsid w:val="00041765"/>
    <w:rsid w:val="00042689"/>
    <w:rsid w:val="00064011"/>
    <w:rsid w:val="00066B52"/>
    <w:rsid w:val="000B779B"/>
    <w:rsid w:val="000F3235"/>
    <w:rsid w:val="001C27A3"/>
    <w:rsid w:val="001E072B"/>
    <w:rsid w:val="001E58EB"/>
    <w:rsid w:val="00215311"/>
    <w:rsid w:val="00224BA8"/>
    <w:rsid w:val="00284556"/>
    <w:rsid w:val="0028526E"/>
    <w:rsid w:val="00293E76"/>
    <w:rsid w:val="002D1BF6"/>
    <w:rsid w:val="002D2D41"/>
    <w:rsid w:val="002D6A61"/>
    <w:rsid w:val="00312F72"/>
    <w:rsid w:val="00331C1D"/>
    <w:rsid w:val="00336555"/>
    <w:rsid w:val="003534AA"/>
    <w:rsid w:val="00365988"/>
    <w:rsid w:val="0037094A"/>
    <w:rsid w:val="00383B5C"/>
    <w:rsid w:val="003D645F"/>
    <w:rsid w:val="003F67A8"/>
    <w:rsid w:val="00475882"/>
    <w:rsid w:val="004B5CE9"/>
    <w:rsid w:val="00500DB0"/>
    <w:rsid w:val="0051792A"/>
    <w:rsid w:val="005273D3"/>
    <w:rsid w:val="005A75EE"/>
    <w:rsid w:val="005B5A54"/>
    <w:rsid w:val="005B62F3"/>
    <w:rsid w:val="005D08DE"/>
    <w:rsid w:val="005E00D2"/>
    <w:rsid w:val="005F1DB3"/>
    <w:rsid w:val="00621B4C"/>
    <w:rsid w:val="00654E38"/>
    <w:rsid w:val="0065653F"/>
    <w:rsid w:val="00675BE6"/>
    <w:rsid w:val="006A7453"/>
    <w:rsid w:val="006B0B90"/>
    <w:rsid w:val="006D309A"/>
    <w:rsid w:val="006E1299"/>
    <w:rsid w:val="006E3971"/>
    <w:rsid w:val="006E4E70"/>
    <w:rsid w:val="00704139"/>
    <w:rsid w:val="00710DC6"/>
    <w:rsid w:val="00721142"/>
    <w:rsid w:val="00741504"/>
    <w:rsid w:val="00741F24"/>
    <w:rsid w:val="0074309D"/>
    <w:rsid w:val="00771791"/>
    <w:rsid w:val="007A751E"/>
    <w:rsid w:val="0085623C"/>
    <w:rsid w:val="00856DC6"/>
    <w:rsid w:val="00874ABB"/>
    <w:rsid w:val="00890904"/>
    <w:rsid w:val="00892F77"/>
    <w:rsid w:val="00896DA6"/>
    <w:rsid w:val="008C5A54"/>
    <w:rsid w:val="008F777C"/>
    <w:rsid w:val="009A1799"/>
    <w:rsid w:val="009A63F8"/>
    <w:rsid w:val="009A7ABE"/>
    <w:rsid w:val="009B7968"/>
    <w:rsid w:val="009C60DF"/>
    <w:rsid w:val="009D17CB"/>
    <w:rsid w:val="00A02497"/>
    <w:rsid w:val="00A1284E"/>
    <w:rsid w:val="00A30EFA"/>
    <w:rsid w:val="00A45D53"/>
    <w:rsid w:val="00A76A94"/>
    <w:rsid w:val="00AC089B"/>
    <w:rsid w:val="00AE68DE"/>
    <w:rsid w:val="00B02299"/>
    <w:rsid w:val="00B21BB2"/>
    <w:rsid w:val="00B3170B"/>
    <w:rsid w:val="00B52AF9"/>
    <w:rsid w:val="00B859D2"/>
    <w:rsid w:val="00BB3D10"/>
    <w:rsid w:val="00C10659"/>
    <w:rsid w:val="00C41A9B"/>
    <w:rsid w:val="00C86CD5"/>
    <w:rsid w:val="00CB3202"/>
    <w:rsid w:val="00CD44C8"/>
    <w:rsid w:val="00CE18B6"/>
    <w:rsid w:val="00CE1F02"/>
    <w:rsid w:val="00D52AF1"/>
    <w:rsid w:val="00D56ACE"/>
    <w:rsid w:val="00D57BE0"/>
    <w:rsid w:val="00D61982"/>
    <w:rsid w:val="00D72C24"/>
    <w:rsid w:val="00D84AE9"/>
    <w:rsid w:val="00D90348"/>
    <w:rsid w:val="00DA23CB"/>
    <w:rsid w:val="00DA5106"/>
    <w:rsid w:val="00DD36DD"/>
    <w:rsid w:val="00DE045A"/>
    <w:rsid w:val="00E36033"/>
    <w:rsid w:val="00E40676"/>
    <w:rsid w:val="00E4117B"/>
    <w:rsid w:val="00E530C3"/>
    <w:rsid w:val="00E65F83"/>
    <w:rsid w:val="00E852F8"/>
    <w:rsid w:val="00E93D46"/>
    <w:rsid w:val="00EC0B7A"/>
    <w:rsid w:val="00EC2568"/>
    <w:rsid w:val="00EF2714"/>
    <w:rsid w:val="00EF4D59"/>
    <w:rsid w:val="00EF750F"/>
    <w:rsid w:val="00F13E5A"/>
    <w:rsid w:val="00F31198"/>
    <w:rsid w:val="00F44903"/>
    <w:rsid w:val="00F514B4"/>
    <w:rsid w:val="00F6414A"/>
    <w:rsid w:val="00F91968"/>
    <w:rsid w:val="00FB6FF7"/>
    <w:rsid w:val="00FC79F3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7</cp:revision>
  <cp:lastPrinted>2015-04-23T17:49:00Z</cp:lastPrinted>
  <dcterms:created xsi:type="dcterms:W3CDTF">2015-05-04T15:25:00Z</dcterms:created>
  <dcterms:modified xsi:type="dcterms:W3CDTF">2015-05-12T14:30:00Z</dcterms:modified>
</cp:coreProperties>
</file>