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312"/>
        <w:gridCol w:w="8045"/>
        <w:gridCol w:w="6423"/>
      </w:tblGrid>
      <w:tr w:rsidR="00E545D3" w:rsidRPr="00CE1F02" w:rsidTr="00A7502C">
        <w:tc>
          <w:tcPr>
            <w:tcW w:w="19728" w:type="dxa"/>
            <w:gridSpan w:val="4"/>
            <w:tcBorders>
              <w:top w:val="nil"/>
              <w:left w:val="nil"/>
              <w:right w:val="nil"/>
            </w:tcBorders>
          </w:tcPr>
          <w:p w:rsidR="00E545D3" w:rsidRDefault="00E545D3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1210 Brighton Avenue </w:t>
            </w:r>
          </w:p>
          <w:p w:rsidR="00E545D3" w:rsidRDefault="00E545D3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56,232 SF, 22,160 SF footprint</w:t>
            </w:r>
          </w:p>
          <w:p w:rsidR="00E545D3" w:rsidRPr="00CE1F02" w:rsidRDefault="00E545D3" w:rsidP="00E54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86 rooms in 4 stories</w:t>
            </w:r>
            <w:r w:rsidR="00D46985">
              <w:rPr>
                <w:rFonts w:asciiTheme="minorHAnsi" w:hAnsiTheme="minorHAnsi" w:cstheme="minorHAnsi"/>
                <w:b/>
                <w:sz w:val="20"/>
                <w:szCs w:val="20"/>
              </w:rPr>
              <w:t>, 113 parking spaces</w:t>
            </w:r>
          </w:p>
        </w:tc>
      </w:tr>
      <w:tr w:rsidR="00E545D3" w:rsidRPr="00CE1F02" w:rsidTr="00A7502C">
        <w:tc>
          <w:tcPr>
            <w:tcW w:w="1948" w:type="dxa"/>
          </w:tcPr>
          <w:p w:rsidR="00E545D3" w:rsidRPr="00741504" w:rsidRDefault="00E545D3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E545D3" w:rsidRPr="00741504" w:rsidRDefault="00E545D3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6423" w:type="dxa"/>
          </w:tcPr>
          <w:p w:rsidR="00E545D3" w:rsidRPr="00741504" w:rsidRDefault="00E545D3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E545D3" w:rsidRPr="00CE1F02" w:rsidTr="00A7502C">
        <w:tc>
          <w:tcPr>
            <w:tcW w:w="1948" w:type="dxa"/>
            <w:vMerge w:val="restart"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8045" w:type="dxa"/>
          </w:tcPr>
          <w:p w:rsidR="00E545D3" w:rsidRPr="00414EB7" w:rsidRDefault="00947C20" w:rsidP="00414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4EB7">
              <w:rPr>
                <w:rFonts w:asciiTheme="minorHAnsi" w:hAnsiTheme="minorHAnsi" w:cstheme="minorHAnsi"/>
                <w:sz w:val="20"/>
                <w:szCs w:val="20"/>
              </w:rPr>
              <w:t>Reducing trip generation by 60%</w:t>
            </w:r>
            <w:r w:rsidR="00414E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46985" w:rsidRDefault="00D46985" w:rsidP="00414EB7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timing for existing</w:t>
            </w:r>
            <w:r w:rsidR="00414EB7">
              <w:rPr>
                <w:rFonts w:asciiTheme="minorHAnsi" w:hAnsiTheme="minorHAnsi" w:cstheme="minorHAnsi"/>
                <w:sz w:val="20"/>
                <w:szCs w:val="20"/>
              </w:rPr>
              <w:t xml:space="preserve"> light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14EB7" w:rsidRDefault="00414EB7" w:rsidP="00414EB7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Crosswalk pattern at Riverside/Brighton?</w:t>
            </w:r>
          </w:p>
          <w:p w:rsidR="00103D95" w:rsidRPr="00983995" w:rsidRDefault="00103D95" w:rsidP="00414EB7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Sidewalks at former gas station?</w:t>
            </w:r>
            <w:r w:rsidR="00983995"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Not applicable.</w:t>
            </w: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8045" w:type="dxa"/>
          </w:tcPr>
          <w:p w:rsidR="00414EB7" w:rsidRPr="00414EB7" w:rsidRDefault="00414EB7" w:rsidP="00414EB7">
            <w:pPr>
              <w:ind w:lef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414EB7">
              <w:rPr>
                <w:rFonts w:asciiTheme="minorHAnsi" w:hAnsiTheme="minorHAnsi" w:cstheme="minorHAnsi"/>
                <w:sz w:val="20"/>
                <w:szCs w:val="20"/>
              </w:rPr>
              <w:t>Increasing radii and adding island at Brighton</w:t>
            </w:r>
          </w:p>
          <w:p w:rsidR="00E545D3" w:rsidRDefault="00947C20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Sidewalk into site on one side only?</w:t>
            </w:r>
            <w:r w:rsidR="00983995">
              <w:rPr>
                <w:rFonts w:asciiTheme="minorHAnsi" w:hAnsiTheme="minorHAnsi" w:cstheme="minorHAnsi"/>
                <w:sz w:val="20"/>
                <w:szCs w:val="20"/>
              </w:rPr>
              <w:t xml:space="preserve"> OK per Tom</w:t>
            </w:r>
          </w:p>
          <w:p w:rsidR="00103D95" w:rsidRPr="00983995" w:rsidRDefault="00103D95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Crosswalk at entrance?</w:t>
            </w:r>
          </w:p>
          <w:p w:rsidR="00D46985" w:rsidRPr="00A45D53" w:rsidRDefault="00D46985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Modify entrance to come in through parking at west end?</w:t>
            </w:r>
          </w:p>
        </w:tc>
        <w:tc>
          <w:tcPr>
            <w:tcW w:w="6423" w:type="dxa"/>
          </w:tcPr>
          <w:p w:rsidR="00E545D3" w:rsidRPr="00CE1F02" w:rsidRDefault="00E545D3" w:rsidP="00E545D3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5D3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995" w:rsidRPr="00983995" w:rsidRDefault="00983995" w:rsidP="00645743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Added crosswalk</w:t>
            </w:r>
          </w:p>
          <w:p w:rsidR="00983995" w:rsidRPr="00CE1F02" w:rsidRDefault="00983995" w:rsidP="00645743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modification</w:t>
            </w: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8045" w:type="dxa"/>
          </w:tcPr>
          <w:p w:rsidR="00E545D3" w:rsidRPr="00F44903" w:rsidRDefault="00E545D3" w:rsidP="00EC2568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C20" w:rsidRPr="003C43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On Metro</w:t>
            </w:r>
            <w:r w:rsidR="00D91DB4" w:rsidRPr="003C43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Route </w:t>
            </w:r>
            <w:r w:rsidR="003C43F4" w:rsidRPr="003C43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4, is nearest shelter ¼ mile or more away?</w:t>
            </w: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8045" w:type="dxa"/>
          </w:tcPr>
          <w:p w:rsidR="00E545D3" w:rsidRDefault="00947C20" w:rsidP="00414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4EB7">
              <w:rPr>
                <w:rFonts w:asciiTheme="minorHAnsi" w:hAnsiTheme="minorHAnsi" w:cstheme="minorHAnsi"/>
                <w:sz w:val="20"/>
                <w:szCs w:val="20"/>
              </w:rPr>
              <w:t xml:space="preserve">113 spaces, </w:t>
            </w:r>
            <w:proofErr w:type="spellStart"/>
            <w:r w:rsidRPr="00414EB7">
              <w:rPr>
                <w:rFonts w:asciiTheme="minorHAnsi" w:hAnsiTheme="minorHAnsi" w:cstheme="minorHAnsi"/>
                <w:sz w:val="20"/>
                <w:szCs w:val="20"/>
              </w:rPr>
              <w:t>inc.</w:t>
            </w:r>
            <w:proofErr w:type="spellEnd"/>
            <w:r w:rsidRPr="00414EB7">
              <w:rPr>
                <w:rFonts w:asciiTheme="minorHAnsi" w:hAnsiTheme="minorHAnsi" w:cstheme="minorHAnsi"/>
                <w:sz w:val="20"/>
                <w:szCs w:val="20"/>
              </w:rPr>
              <w:t xml:space="preserve"> 6 ADA</w:t>
            </w:r>
            <w:r w:rsidR="003C43F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3C43F4" w:rsidRDefault="003C43F4" w:rsidP="003C43F4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required; over 50KSF, board decision based on parking study; exceeding by 10%, must show parking analysis that parking is appropriate</w:t>
            </w:r>
          </w:p>
          <w:p w:rsidR="003C43F4" w:rsidRPr="00B35D79" w:rsidRDefault="003C43F4" w:rsidP="003C43F4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35D79">
              <w:rPr>
                <w:rFonts w:asciiTheme="minorHAnsi" w:hAnsiTheme="minorHAnsi" w:cstheme="minorHAnsi"/>
                <w:strike/>
                <w:sz w:val="20"/>
                <w:szCs w:val="20"/>
              </w:rPr>
              <w:t>Show number of bike parking spaces – 2/10 vehicle spaces required – 5 spaces</w:t>
            </w:r>
          </w:p>
        </w:tc>
        <w:tc>
          <w:tcPr>
            <w:tcW w:w="6423" w:type="dxa"/>
          </w:tcPr>
          <w:p w:rsidR="00E545D3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D79" w:rsidRDefault="00B35D79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D79" w:rsidRDefault="00B35D79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D79" w:rsidRPr="00B35D79" w:rsidRDefault="00B35D79" w:rsidP="00475882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35D79">
              <w:rPr>
                <w:rFonts w:asciiTheme="minorHAnsi" w:hAnsiTheme="minorHAnsi" w:cstheme="minorHAnsi"/>
                <w:strike/>
                <w:sz w:val="20"/>
                <w:szCs w:val="20"/>
              </w:rPr>
              <w:t>6 spaces shown on revised plan</w:t>
            </w: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8045" w:type="dxa"/>
          </w:tcPr>
          <w:p w:rsidR="00E545D3" w:rsidRPr="00F44903" w:rsidRDefault="003C43F4" w:rsidP="002D2D4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3C43F4">
              <w:rPr>
                <w:rFonts w:asciiTheme="minorHAnsi" w:hAnsiTheme="minorHAnsi" w:cstheme="minorHAnsi"/>
                <w:sz w:val="20"/>
                <w:szCs w:val="20"/>
              </w:rPr>
              <w:t>TDM plan required as commercial use of &lt;50KSF</w:t>
            </w: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 w:val="restart"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8045" w:type="dxa"/>
          </w:tcPr>
          <w:p w:rsidR="00E545D3" w:rsidRPr="00F44903" w:rsidRDefault="00E545D3" w:rsidP="00F44903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8045" w:type="dxa"/>
          </w:tcPr>
          <w:p w:rsidR="00E545D3" w:rsidRPr="008B7820" w:rsidRDefault="00582672" w:rsidP="00EC2568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>6 m</w:t>
            </w:r>
            <w:r w:rsidR="00391846"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>ature maple trees?</w:t>
            </w:r>
            <w:r w:rsidR="00D46985"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Retain?</w:t>
            </w:r>
            <w:r w:rsidR="003C43F4"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proofErr w:type="spellStart"/>
            <w:r w:rsidR="003C43F4"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>Mimimum</w:t>
            </w:r>
            <w:proofErr w:type="spellEnd"/>
            <w:r w:rsidR="003C43F4"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of 30% of existing trees &gt;10 inches within setback </w:t>
            </w:r>
          </w:p>
          <w:p w:rsidR="00983995" w:rsidRPr="00983995" w:rsidRDefault="00C53C64" w:rsidP="00983995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Understory: </w:t>
            </w:r>
            <w:r w:rsidR="003C43F4"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6 shrubs/45 LF of all frontages (171</w:t>
            </w: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/45)*6</w:t>
            </w:r>
            <w:r w:rsidR="003C43F4"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) or 2</w:t>
            </w:r>
            <w:r w:rsidR="00983995"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3</w:t>
            </w:r>
            <w:r w:rsidR="003C43F4"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shrubs.  </w:t>
            </w:r>
          </w:p>
          <w:p w:rsidR="00C53C64" w:rsidRPr="00983995" w:rsidRDefault="00C53C64" w:rsidP="00983995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Parking lot: 2 trees (or 1 tree + 3 shrubs)/5 parking spaces ((113 spaces/5)*2=46 or 23 trees &amp; 69 shrubs).  15 major shade trees and 23 flowering ornamen</w:t>
            </w:r>
            <w:bookmarkStart w:id="0" w:name="_GoBack"/>
            <w:bookmarkEnd w:id="0"/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tal = 38 trees in preliminary plans; 173 shrubs.  OK</w:t>
            </w:r>
          </w:p>
          <w:p w:rsidR="00C53C64" w:rsidRPr="00F44903" w:rsidRDefault="00C53C64" w:rsidP="00C53C64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Street trees?  No room in ROW</w:t>
            </w:r>
            <w:r w:rsidR="009839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743">
              <w:rPr>
                <w:rFonts w:asciiTheme="minorHAnsi" w:hAnsiTheme="minorHAnsi" w:cstheme="minorHAnsi"/>
                <w:sz w:val="20"/>
                <w:szCs w:val="20"/>
              </w:rPr>
              <w:t xml:space="preserve">  Required 30 – 45 </w:t>
            </w:r>
            <w:proofErr w:type="spellStart"/>
            <w:r w:rsidR="00645743">
              <w:rPr>
                <w:rFonts w:asciiTheme="minorHAnsi" w:hAnsiTheme="minorHAnsi" w:cstheme="minorHAnsi"/>
                <w:sz w:val="20"/>
                <w:szCs w:val="20"/>
              </w:rPr>
              <w:t>ft</w:t>
            </w:r>
            <w:proofErr w:type="spellEnd"/>
            <w:r w:rsidR="00645743">
              <w:rPr>
                <w:rFonts w:asciiTheme="minorHAnsi" w:hAnsiTheme="minorHAnsi" w:cstheme="minorHAnsi"/>
                <w:sz w:val="20"/>
                <w:szCs w:val="20"/>
              </w:rPr>
              <w:t xml:space="preserve"> on center in </w:t>
            </w:r>
            <w:proofErr w:type="gramStart"/>
            <w:r w:rsidR="00645743">
              <w:rPr>
                <w:rFonts w:asciiTheme="minorHAnsi" w:hAnsiTheme="minorHAnsi" w:cstheme="minorHAnsi"/>
                <w:sz w:val="20"/>
                <w:szCs w:val="20"/>
              </w:rPr>
              <w:t>ROW  JEFF</w:t>
            </w:r>
            <w:proofErr w:type="gramEnd"/>
            <w:r w:rsidR="00645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423" w:type="dxa"/>
          </w:tcPr>
          <w:p w:rsidR="00E545D3" w:rsidRDefault="008B7820" w:rsidP="00475882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>Maintaining ever</w:t>
            </w: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greens in front, 2 maples at re</w:t>
            </w:r>
            <w:r w:rsidRPr="008B7820">
              <w:rPr>
                <w:rFonts w:asciiTheme="minorHAnsi" w:hAnsiTheme="minorHAnsi" w:cstheme="minorHAnsi"/>
                <w:strike/>
                <w:sz w:val="20"/>
                <w:szCs w:val="20"/>
              </w:rPr>
              <w:t>ar</w:t>
            </w:r>
          </w:p>
          <w:p w:rsidR="008B7820" w:rsidRPr="000E70A0" w:rsidRDefault="008B7820" w:rsidP="00645743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8045" w:type="dxa"/>
          </w:tcPr>
          <w:p w:rsidR="00E545D3" w:rsidRDefault="00C53C64" w:rsidP="00414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Existing impervious (93,620) – proposed = </w:t>
            </w:r>
            <w:r w:rsidR="00582672" w:rsidRPr="00414EB7">
              <w:rPr>
                <w:rFonts w:asciiTheme="minorHAnsi" w:hAnsiTheme="minorHAnsi" w:cstheme="minorHAnsi"/>
                <w:sz w:val="20"/>
                <w:szCs w:val="20"/>
              </w:rPr>
              <w:t xml:space="preserve"> -15KSF in impervious</w:t>
            </w:r>
          </w:p>
          <w:p w:rsidR="00C53C64" w:rsidRPr="00C53C64" w:rsidRDefault="00C53C64" w:rsidP="00983995">
            <w:pPr>
              <w:pStyle w:val="ListParagraph"/>
              <w:numPr>
                <w:ilvl w:val="0"/>
                <w:numId w:val="13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does storm drain outlet?</w:t>
            </w:r>
          </w:p>
        </w:tc>
        <w:tc>
          <w:tcPr>
            <w:tcW w:w="6423" w:type="dxa"/>
          </w:tcPr>
          <w:p w:rsidR="00E545D3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995" w:rsidRPr="00983995" w:rsidRDefault="00983995" w:rsidP="00475882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3995">
              <w:rPr>
                <w:rFonts w:asciiTheme="minorHAnsi" w:hAnsiTheme="minorHAnsi" w:cstheme="minorHAnsi"/>
                <w:strike/>
                <w:sz w:val="20"/>
                <w:szCs w:val="20"/>
              </w:rPr>
              <w:t>Removing and replacing with rip rap swales.</w:t>
            </w:r>
          </w:p>
        </w:tc>
      </w:tr>
      <w:tr w:rsidR="00E545D3" w:rsidRPr="00CE1F02" w:rsidTr="00A7502C">
        <w:tc>
          <w:tcPr>
            <w:tcW w:w="1948" w:type="dxa"/>
            <w:vMerge w:val="restart"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8045" w:type="dxa"/>
          </w:tcPr>
          <w:p w:rsidR="00E545D3" w:rsidRPr="00CE1F02" w:rsidRDefault="00E545D3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8045" w:type="dxa"/>
          </w:tcPr>
          <w:p w:rsidR="00947C20" w:rsidRPr="00414EB7" w:rsidRDefault="00947C20" w:rsidP="00414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4EB7">
              <w:rPr>
                <w:rFonts w:asciiTheme="minorHAnsi" w:hAnsiTheme="minorHAnsi" w:cstheme="minorHAnsi"/>
                <w:sz w:val="20"/>
                <w:szCs w:val="20"/>
              </w:rPr>
              <w:t>Separate water service for fire protection</w:t>
            </w:r>
          </w:p>
          <w:p w:rsidR="00947C20" w:rsidRPr="00CE1F02" w:rsidRDefault="00947C20" w:rsidP="00947C20">
            <w:p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983995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fire comments</w:t>
            </w: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8045" w:type="dxa"/>
          </w:tcPr>
          <w:p w:rsidR="00E545D3" w:rsidRDefault="00947C20" w:rsidP="00947C20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947C20">
              <w:rPr>
                <w:rFonts w:asciiTheme="minorHAnsi" w:hAnsiTheme="minorHAnsi" w:cstheme="minorHAnsi"/>
                <w:sz w:val="20"/>
                <w:szCs w:val="20"/>
              </w:rPr>
              <w:t>Easements needed for utilities?</w:t>
            </w:r>
          </w:p>
          <w:p w:rsidR="00C53C64" w:rsidRPr="00947C20" w:rsidRDefault="00C53C64" w:rsidP="00947C20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capacity letters</w:t>
            </w:r>
          </w:p>
        </w:tc>
        <w:tc>
          <w:tcPr>
            <w:tcW w:w="6423" w:type="dxa"/>
          </w:tcPr>
          <w:p w:rsidR="00E545D3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995" w:rsidRPr="00CE1F02" w:rsidRDefault="00983995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64574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Need sewer capacity letter</w:t>
            </w:r>
          </w:p>
        </w:tc>
      </w:tr>
      <w:tr w:rsidR="00E545D3" w:rsidRPr="00CE1F02" w:rsidTr="00A7502C">
        <w:tc>
          <w:tcPr>
            <w:tcW w:w="1948" w:type="dxa"/>
            <w:vMerge w:val="restart"/>
          </w:tcPr>
          <w:p w:rsidR="00E545D3" w:rsidRPr="00741504" w:rsidRDefault="00E545D3" w:rsidP="00741504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8045" w:type="dxa"/>
          </w:tcPr>
          <w:p w:rsidR="00E545D3" w:rsidRPr="00022AEC" w:rsidRDefault="00E545D3" w:rsidP="00022AE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8045" w:type="dxa"/>
          </w:tcPr>
          <w:p w:rsidR="00E545D3" w:rsidRPr="00022AEC" w:rsidRDefault="00E545D3" w:rsidP="00022AEC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8045" w:type="dxa"/>
          </w:tcPr>
          <w:p w:rsidR="00E545D3" w:rsidRPr="00CE1F02" w:rsidRDefault="00E545D3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8045" w:type="dxa"/>
          </w:tcPr>
          <w:p w:rsidR="00E545D3" w:rsidRPr="0037094A" w:rsidRDefault="00E545D3" w:rsidP="00E545D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8045" w:type="dxa"/>
          </w:tcPr>
          <w:p w:rsidR="00E545D3" w:rsidRPr="0037094A" w:rsidRDefault="00E545D3" w:rsidP="0037094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8045" w:type="dxa"/>
          </w:tcPr>
          <w:p w:rsidR="00E545D3" w:rsidRPr="00F44903" w:rsidRDefault="00C53C64" w:rsidP="00F4490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lighting details.  Designate as full cutoff on plans</w:t>
            </w:r>
          </w:p>
        </w:tc>
        <w:tc>
          <w:tcPr>
            <w:tcW w:w="6423" w:type="dxa"/>
          </w:tcPr>
          <w:p w:rsidR="00E545D3" w:rsidRPr="00CE1F02" w:rsidRDefault="00983995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574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Photometrics</w:t>
            </w:r>
            <w:proofErr w:type="spellEnd"/>
            <w:r w:rsidRPr="0064574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needed</w:t>
            </w: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741504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741504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8045" w:type="dxa"/>
          </w:tcPr>
          <w:p w:rsidR="00E545D3" w:rsidRPr="00F44903" w:rsidRDefault="00E545D3" w:rsidP="00F4490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CE1F02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CE1F02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 xml:space="preserve">Signage and </w:t>
            </w:r>
            <w:proofErr w:type="spellStart"/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8045" w:type="dxa"/>
          </w:tcPr>
          <w:p w:rsidR="00E545D3" w:rsidRPr="00CE1F02" w:rsidRDefault="00E545D3" w:rsidP="00F44903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</w:tcPr>
          <w:p w:rsidR="00E545D3" w:rsidRPr="00CE1F02" w:rsidRDefault="00E545D3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5D3" w:rsidRPr="00CE1F02" w:rsidTr="00A7502C">
        <w:tc>
          <w:tcPr>
            <w:tcW w:w="1948" w:type="dxa"/>
            <w:vMerge/>
          </w:tcPr>
          <w:p w:rsidR="00E545D3" w:rsidRPr="00CE1F02" w:rsidRDefault="00E545D3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E545D3" w:rsidRPr="00CE1F02" w:rsidRDefault="00E545D3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</w:p>
        </w:tc>
        <w:tc>
          <w:tcPr>
            <w:tcW w:w="8045" w:type="dxa"/>
          </w:tcPr>
          <w:p w:rsidR="00E545D3" w:rsidRPr="00CE1F02" w:rsidRDefault="005E40C8" w:rsidP="00E545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6423" w:type="dxa"/>
          </w:tcPr>
          <w:p w:rsidR="00E545D3" w:rsidRPr="00CE1F02" w:rsidRDefault="00E545D3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  <w:r w:rsidRPr="00CE1F02">
        <w:rPr>
          <w:rFonts w:asciiTheme="minorHAnsi" w:hAnsiTheme="minorHAnsi" w:cstheme="minorHAnsi"/>
          <w:b/>
          <w:sz w:val="20"/>
          <w:szCs w:val="20"/>
        </w:rPr>
        <w:t>Additional Submittals Required:</w:t>
      </w:r>
    </w:p>
    <w:p w:rsidR="00EC2568" w:rsidRPr="00983995" w:rsidRDefault="00582672" w:rsidP="00CE1F02">
      <w:pPr>
        <w:rPr>
          <w:rFonts w:asciiTheme="minorHAnsi" w:hAnsiTheme="minorHAnsi" w:cstheme="minorHAnsi"/>
          <w:strike/>
          <w:sz w:val="20"/>
          <w:szCs w:val="20"/>
        </w:rPr>
      </w:pPr>
      <w:proofErr w:type="gramStart"/>
      <w:r w:rsidRPr="00983995">
        <w:rPr>
          <w:rFonts w:asciiTheme="minorHAnsi" w:hAnsiTheme="minorHAnsi" w:cstheme="minorHAnsi"/>
          <w:strike/>
          <w:sz w:val="20"/>
          <w:szCs w:val="20"/>
        </w:rPr>
        <w:t>Easements</w:t>
      </w:r>
      <w:r w:rsidR="00391846" w:rsidRPr="00983995">
        <w:rPr>
          <w:rFonts w:asciiTheme="minorHAnsi" w:hAnsiTheme="minorHAnsi" w:cstheme="minorHAnsi"/>
          <w:strike/>
          <w:sz w:val="20"/>
          <w:szCs w:val="20"/>
        </w:rPr>
        <w:t>?</w:t>
      </w:r>
      <w:proofErr w:type="gramEnd"/>
      <w:r w:rsidR="00391846" w:rsidRPr="00983995">
        <w:rPr>
          <w:rFonts w:asciiTheme="minorHAnsi" w:hAnsiTheme="minorHAnsi" w:cstheme="minorHAnsi"/>
          <w:strike/>
          <w:sz w:val="20"/>
          <w:szCs w:val="20"/>
        </w:rPr>
        <w:t xml:space="preserve">  UGE and communication and water</w:t>
      </w:r>
      <w:r w:rsidRPr="00983995">
        <w:rPr>
          <w:rFonts w:asciiTheme="minorHAnsi" w:hAnsiTheme="minorHAnsi" w:cstheme="minorHAnsi"/>
          <w:strike/>
          <w:sz w:val="20"/>
          <w:szCs w:val="20"/>
        </w:rPr>
        <w:t xml:space="preserve"> across gas station</w:t>
      </w:r>
      <w:r w:rsidR="00983995" w:rsidRPr="00983995">
        <w:rPr>
          <w:rFonts w:asciiTheme="minorHAnsi" w:hAnsiTheme="minorHAnsi" w:cstheme="minorHAnsi"/>
          <w:strike/>
          <w:sz w:val="20"/>
          <w:szCs w:val="20"/>
        </w:rPr>
        <w:t xml:space="preserve"> OK per easement</w:t>
      </w:r>
    </w:p>
    <w:p w:rsidR="00103D95" w:rsidRPr="00582672" w:rsidRDefault="00103D95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Deal with gas station?  </w:t>
      </w:r>
      <w:proofErr w:type="gramStart"/>
      <w:r>
        <w:rPr>
          <w:rFonts w:asciiTheme="minorHAnsi" w:hAnsiTheme="minorHAnsi" w:cstheme="minorHAnsi"/>
          <w:sz w:val="20"/>
          <w:szCs w:val="20"/>
        </w:rPr>
        <w:t>Ownership?</w:t>
      </w:r>
      <w:proofErr w:type="gramEnd"/>
    </w:p>
    <w:p w:rsidR="00895C7B" w:rsidRPr="00983995" w:rsidRDefault="00895C7B" w:rsidP="00CE1F02">
      <w:pPr>
        <w:rPr>
          <w:rFonts w:asciiTheme="minorHAnsi" w:hAnsiTheme="minorHAnsi" w:cstheme="minorHAnsi"/>
          <w:strike/>
          <w:sz w:val="20"/>
          <w:szCs w:val="20"/>
        </w:rPr>
      </w:pPr>
      <w:r w:rsidRPr="00983995">
        <w:rPr>
          <w:rFonts w:asciiTheme="minorHAnsi" w:hAnsiTheme="minorHAnsi" w:cstheme="minorHAnsi"/>
          <w:strike/>
          <w:sz w:val="20"/>
          <w:szCs w:val="20"/>
        </w:rPr>
        <w:t>Show distances to property lines</w:t>
      </w:r>
    </w:p>
    <w:p w:rsidR="00FB4A13" w:rsidRDefault="00FB4A13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45D53" w:rsidRDefault="00A45D53" w:rsidP="00CE1F02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Zoning</w:t>
      </w:r>
      <w:r w:rsidR="00582672">
        <w:rPr>
          <w:rFonts w:asciiTheme="minorHAnsi" w:hAnsiTheme="minorHAnsi" w:cstheme="minorHAnsi"/>
          <w:b/>
          <w:sz w:val="20"/>
          <w:szCs w:val="20"/>
        </w:rPr>
        <w:t xml:space="preserve"> (B4)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B4A13">
        <w:rPr>
          <w:rFonts w:asciiTheme="minorHAnsi" w:hAnsiTheme="minorHAnsi" w:cstheme="minorHAnsi"/>
          <w:b/>
          <w:sz w:val="20"/>
          <w:szCs w:val="20"/>
        </w:rPr>
        <w:t>Portland Hotels, applicant.</w:t>
      </w:r>
      <w:proofErr w:type="gramEnd"/>
      <w:r w:rsidR="00FB4A13">
        <w:rPr>
          <w:rFonts w:asciiTheme="minorHAnsi" w:hAnsiTheme="minorHAnsi" w:cstheme="minorHAnsi"/>
          <w:b/>
          <w:sz w:val="20"/>
          <w:szCs w:val="20"/>
        </w:rPr>
        <w:t xml:space="preserve"> Per assessor, Portland Hotels also owns Denny’s lot.  Adjacent vacant lot owned by Portland Hotels Realty.  Site plan notes Portland Hotels Realty as owner of record on Denny’s lot.</w:t>
      </w:r>
    </w:p>
    <w:tbl>
      <w:tblPr>
        <w:tblW w:w="12705" w:type="dxa"/>
        <w:tblInd w:w="93" w:type="dxa"/>
        <w:tblLook w:val="04A0" w:firstRow="1" w:lastRow="0" w:firstColumn="1" w:lastColumn="0" w:noHBand="0" w:noVBand="1"/>
      </w:tblPr>
      <w:tblGrid>
        <w:gridCol w:w="1995"/>
        <w:gridCol w:w="5040"/>
        <w:gridCol w:w="2835"/>
        <w:gridCol w:w="2835"/>
      </w:tblGrid>
      <w:tr w:rsidR="00FB4A13" w:rsidRPr="00FB4A13" w:rsidTr="00A7502C">
        <w:trPr>
          <w:trHeight w:val="3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B-4</w:t>
            </w: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B4A13" w:rsidRPr="00FB4A13" w:rsidRDefault="00FB4A13" w:rsidP="00FB4A13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A13" w:rsidRPr="00FB4A13" w:rsidTr="00A7502C">
        <w:trPr>
          <w:trHeight w:val="32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4A13" w:rsidRPr="00FB4A13" w:rsidRDefault="00FB4A13" w:rsidP="00FB4A1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LAST UPDATE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4A13" w:rsidRPr="00FB4A13" w:rsidRDefault="00FB4A13" w:rsidP="00FB4A13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11/24/2014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FB4A13" w:rsidRPr="00FB4A13" w:rsidRDefault="00FB4A13" w:rsidP="00FB4A13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A13" w:rsidRPr="00FB4A13" w:rsidTr="00A7502C">
        <w:trPr>
          <w:trHeight w:val="3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Min. Lot Size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>10,000 SF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FB4A13" w:rsidRDefault="00FB4A13" w:rsidP="00414E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14EB7">
              <w:rPr>
                <w:rFonts w:ascii="Calibri" w:hAnsi="Calibri"/>
                <w:color w:val="000000"/>
                <w:sz w:val="20"/>
                <w:szCs w:val="20"/>
              </w:rPr>
              <w:t>25,888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SF</w:t>
            </w:r>
            <w:r w:rsidR="00B35D79">
              <w:rPr>
                <w:rFonts w:ascii="Calibri" w:hAnsi="Calibri"/>
                <w:color w:val="000000"/>
                <w:sz w:val="20"/>
                <w:szCs w:val="20"/>
              </w:rPr>
              <w:t xml:space="preserve"> – 155,014 including Denny’s</w:t>
            </w:r>
          </w:p>
        </w:tc>
      </w:tr>
      <w:tr w:rsidR="00FB4A13" w:rsidRPr="00FB4A13" w:rsidTr="00A7502C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Min. Street Frontage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sz w:val="20"/>
                <w:szCs w:val="20"/>
              </w:rPr>
            </w:pPr>
            <w:r w:rsidRPr="00FB4A13">
              <w:rPr>
                <w:rFonts w:ascii="Calibri" w:hAnsi="Calibri"/>
                <w:sz w:val="20"/>
                <w:szCs w:val="20"/>
              </w:rPr>
              <w:t>60 ft.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A7502C" w:rsidRDefault="00FB4A13" w:rsidP="00FB4A13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502C">
              <w:rPr>
                <w:rFonts w:ascii="Calibri" w:hAnsi="Calibri"/>
                <w:i/>
                <w:sz w:val="20"/>
                <w:szCs w:val="20"/>
              </w:rPr>
              <w:t>44.8’ on Brighton</w:t>
            </w:r>
            <w:r w:rsidR="00A7502C" w:rsidRPr="00A7502C">
              <w:rPr>
                <w:rFonts w:ascii="Calibri" w:hAnsi="Calibri"/>
                <w:i/>
                <w:sz w:val="20"/>
                <w:szCs w:val="20"/>
              </w:rPr>
              <w:t xml:space="preserve"> (existing non-conformity)</w:t>
            </w:r>
          </w:p>
          <w:p w:rsidR="00FB4A13" w:rsidRPr="00A7502C" w:rsidRDefault="00FB4A13" w:rsidP="00895C7B">
            <w:pPr>
              <w:rPr>
                <w:rFonts w:ascii="Calibri" w:hAnsi="Calibri"/>
                <w:sz w:val="20"/>
                <w:szCs w:val="20"/>
              </w:rPr>
            </w:pPr>
            <w:r w:rsidRPr="00A7502C">
              <w:rPr>
                <w:rFonts w:ascii="Calibri" w:hAnsi="Calibri"/>
                <w:sz w:val="20"/>
                <w:szCs w:val="20"/>
              </w:rPr>
              <w:t>171.21 (including Denny’s)</w:t>
            </w:r>
          </w:p>
        </w:tc>
      </w:tr>
      <w:tr w:rsidR="00FB4A13" w:rsidRPr="00FB4A13" w:rsidTr="00A7502C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Min. Lot Width</w:t>
            </w:r>
            <w:r w:rsidR="003F56F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(measured at narrowest part of lot where building is located)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FB4A13" w:rsidRDefault="00FB4A13" w:rsidP="00414E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>60 ft.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A7502C" w:rsidRDefault="00895C7B" w:rsidP="00895C7B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A7502C">
              <w:rPr>
                <w:rFonts w:ascii="Calibri" w:hAnsi="Calibri"/>
                <w:i/>
                <w:color w:val="000000"/>
                <w:sz w:val="20"/>
                <w:szCs w:val="20"/>
              </w:rPr>
              <w:t>44.8’ at Brighton</w:t>
            </w:r>
            <w:r w:rsidR="00A7502C" w:rsidRPr="00A7502C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(existing non-conformity)</w:t>
            </w:r>
          </w:p>
        </w:tc>
      </w:tr>
      <w:tr w:rsidR="00FB4A13" w:rsidRPr="00FB4A13" w:rsidTr="00A7502C">
        <w:trPr>
          <w:trHeight w:val="63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Min. Front Yard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A7502C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02C">
              <w:rPr>
                <w:rFonts w:ascii="Calibri" w:hAnsi="Calibri"/>
                <w:color w:val="000000"/>
                <w:sz w:val="20"/>
                <w:szCs w:val="20"/>
              </w:rPr>
              <w:t>20 ft., except that front yard need not exceed avg. depth of adjacent yards</w:t>
            </w:r>
            <w:r w:rsidRPr="00A7502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FB4A13" w:rsidRDefault="00895C7B" w:rsidP="00A750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building</w:t>
            </w:r>
            <w:r w:rsidR="00A7502C">
              <w:rPr>
                <w:rFonts w:ascii="Calibri" w:hAnsi="Calibri"/>
                <w:color w:val="000000"/>
                <w:sz w:val="20"/>
                <w:szCs w:val="20"/>
              </w:rPr>
              <w:t>.  OK</w:t>
            </w:r>
          </w:p>
        </w:tc>
      </w:tr>
      <w:tr w:rsidR="00FB4A13" w:rsidRPr="00FB4A13" w:rsidTr="00A7502C">
        <w:trPr>
          <w:trHeight w:val="5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Min. Rear Yard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A7502C" w:rsidRDefault="00FB4A13" w:rsidP="00895C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02C">
              <w:rPr>
                <w:rFonts w:ascii="Calibri" w:hAnsi="Calibri"/>
                <w:color w:val="000000"/>
                <w:sz w:val="20"/>
                <w:szCs w:val="20"/>
              </w:rPr>
              <w:t>Principal: 20 ft.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FB4A13" w:rsidRDefault="00A7502C" w:rsidP="00A750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 per Ann if clearly outside setback</w:t>
            </w:r>
          </w:p>
        </w:tc>
      </w:tr>
      <w:tr w:rsidR="00FB4A13" w:rsidRPr="00FB4A13" w:rsidTr="00A7502C">
        <w:trPr>
          <w:trHeight w:val="60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A7502C" w:rsidRDefault="00FB4A13" w:rsidP="00895C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02C">
              <w:rPr>
                <w:rFonts w:ascii="Calibri" w:hAnsi="Calibri"/>
                <w:color w:val="000000"/>
                <w:sz w:val="20"/>
                <w:szCs w:val="20"/>
              </w:rPr>
              <w:t>Accessory w/ total FA &lt;100SF: 7 ft.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FB4A13" w:rsidRDefault="00A7502C" w:rsidP="00A750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 per Ann if clearly outside setback</w:t>
            </w:r>
          </w:p>
        </w:tc>
      </w:tr>
      <w:tr w:rsidR="00FB4A13" w:rsidRPr="00FB4A13" w:rsidTr="00A7502C">
        <w:trPr>
          <w:trHeight w:val="503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Min. Side Yard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A7502C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02C">
              <w:rPr>
                <w:rFonts w:ascii="Calibri" w:hAnsi="Calibri"/>
                <w:color w:val="000000"/>
                <w:sz w:val="20"/>
                <w:szCs w:val="20"/>
              </w:rPr>
              <w:t xml:space="preserve">Principal: 1-2 stories - 10 ft.   </w:t>
            </w:r>
          </w:p>
          <w:p w:rsidR="00FB4A13" w:rsidRPr="00A7502C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02C">
              <w:rPr>
                <w:rFonts w:ascii="Calibri" w:hAnsi="Calibri"/>
                <w:color w:val="000000"/>
                <w:sz w:val="20"/>
                <w:szCs w:val="20"/>
              </w:rPr>
              <w:t>3+ stories - 12 ft.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A13" w:rsidRPr="00FB4A13" w:rsidRDefault="00A7502C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 per Ann if clearly outside setback</w:t>
            </w:r>
          </w:p>
        </w:tc>
      </w:tr>
      <w:tr w:rsidR="00FB4A13" w:rsidRPr="00FB4A13" w:rsidTr="00A7502C">
        <w:trPr>
          <w:trHeight w:val="7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>Accessory w/ total FA &lt;100SF: 5 ft.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13" w:rsidRP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B4A13" w:rsidRPr="00FB4A13" w:rsidTr="00A7502C">
        <w:trPr>
          <w:trHeight w:val="728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ide yard on side street:      </w:t>
            </w:r>
          </w:p>
          <w:p w:rsid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 xml:space="preserve"> 1-2 stories - 10 ft.                    </w:t>
            </w:r>
          </w:p>
          <w:p w:rsidR="00FB4A13" w:rsidRP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 xml:space="preserve"> 3+ stories - 12 ft.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A13" w:rsidRP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B4A13" w:rsidRPr="00FB4A13" w:rsidTr="00A7502C">
        <w:trPr>
          <w:trHeight w:val="7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Max. Structure Height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FB4A13" w:rsidRDefault="00FB4A13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 xml:space="preserve">65 ft., except that on lots &gt;5 ac., 90 feet is permitted if each setback is increased by 1 foot for each foot of height over 65 ft.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3" w:rsidRPr="00FB4A13" w:rsidRDefault="00895C7B" w:rsidP="006C79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Show </w:t>
            </w:r>
            <w:r w:rsidR="006C79E7">
              <w:rPr>
                <w:rFonts w:ascii="Calibri" w:hAnsi="Calibri"/>
                <w:color w:val="000000"/>
                <w:sz w:val="20"/>
                <w:szCs w:val="20"/>
              </w:rPr>
              <w:t>in 54’ 2” in elevations, not using average grade (varies by 1 ft. +/-)</w:t>
            </w:r>
            <w:r w:rsidR="00A7502C">
              <w:rPr>
                <w:rFonts w:ascii="Calibri" w:hAnsi="Calibri"/>
                <w:color w:val="000000"/>
                <w:sz w:val="20"/>
                <w:szCs w:val="20"/>
              </w:rPr>
              <w:t xml:space="preserve"> OK per Ann </w:t>
            </w:r>
          </w:p>
        </w:tc>
      </w:tr>
      <w:tr w:rsidR="00B35D79" w:rsidRPr="00FB4A13" w:rsidTr="000A3A7A">
        <w:trPr>
          <w:trHeight w:val="68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5D79" w:rsidRPr="00FB4A13" w:rsidRDefault="00B35D79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Max. Floor Area Ratio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79" w:rsidRPr="00FB4A13" w:rsidRDefault="00B35D79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>.65, unless abutting residential zone, in which case FAR of abutting zone applies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79" w:rsidRDefault="00B35D79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895C7B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895C7B"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SF proposed FA</w:t>
            </w:r>
          </w:p>
          <w:p w:rsidR="00B35D79" w:rsidRDefault="00B35D79" w:rsidP="00FB4A13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414EB7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125,888</w:t>
            </w:r>
            <w:r w:rsidRPr="00895C7B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SF parcel size </w:t>
            </w:r>
          </w:p>
          <w:p w:rsidR="00B35D79" w:rsidRDefault="00B35D79" w:rsidP="00FB4A13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.45 FAR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79" w:rsidRDefault="00B35D79" w:rsidP="00B35D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59,732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(including Denny’s)</w:t>
            </w:r>
          </w:p>
          <w:p w:rsidR="00B35D79" w:rsidRDefault="00B35D79" w:rsidP="00B35D79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B35D79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155,014 (including Denny’s)</w:t>
            </w:r>
          </w:p>
          <w:p w:rsidR="00B35D79" w:rsidRPr="00895C7B" w:rsidRDefault="00B35D79" w:rsidP="00414E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.39</w:t>
            </w:r>
          </w:p>
        </w:tc>
      </w:tr>
      <w:tr w:rsidR="00B35D79" w:rsidRPr="00FB4A13" w:rsidTr="00084595">
        <w:trPr>
          <w:trHeight w:val="63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5D79" w:rsidRPr="00FB4A13" w:rsidRDefault="00B35D79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Max. Impervious Surface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79" w:rsidRPr="00FB4A13" w:rsidRDefault="00B35D79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4A13">
              <w:rPr>
                <w:rFonts w:ascii="Calibri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79" w:rsidRDefault="00B35D79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895C7B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895C7B"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proposed impervious</w:t>
            </w:r>
          </w:p>
          <w:p w:rsidR="00B35D79" w:rsidRDefault="00B35D79" w:rsidP="00895C7B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414EB7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125,888</w:t>
            </w:r>
            <w:r w:rsidRPr="00895C7B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SF parcel size </w:t>
            </w:r>
          </w:p>
          <w:p w:rsidR="00B35D79" w:rsidRDefault="00B35D79" w:rsidP="00895C7B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62.3% impervious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79" w:rsidRDefault="00B35D79" w:rsidP="00414E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102,791 (including Denny’s)</w:t>
            </w:r>
          </w:p>
          <w:p w:rsidR="00B35D79" w:rsidRDefault="00B35D79" w:rsidP="00414EB7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B35D79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155,014 (including Denny’s)</w:t>
            </w:r>
          </w:p>
          <w:p w:rsidR="00B35D79" w:rsidRPr="00B35D79" w:rsidRDefault="00B35D79" w:rsidP="00414E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5D79">
              <w:rPr>
                <w:rFonts w:ascii="Calibri" w:hAnsi="Calibri"/>
                <w:color w:val="000000"/>
                <w:sz w:val="20"/>
                <w:szCs w:val="20"/>
              </w:rPr>
              <w:t>66.3%</w:t>
            </w:r>
          </w:p>
        </w:tc>
      </w:tr>
      <w:tr w:rsidR="00895C7B" w:rsidRPr="00FB4A13" w:rsidTr="00A7502C">
        <w:trPr>
          <w:trHeight w:val="2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5C7B" w:rsidRPr="00FB4A13" w:rsidRDefault="00895C7B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81" w:rsidRPr="00FB4A13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Hotels</w:t>
            </w:r>
            <w:r w:rsidR="006C79E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1/4 rooms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7B" w:rsidRDefault="006C79E7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86/4=21.5</w:t>
            </w:r>
            <w:r w:rsidR="00A7502C">
              <w:rPr>
                <w:rFonts w:ascii="Calibri" w:hAnsi="Calibri"/>
                <w:color w:val="000000"/>
                <w:sz w:val="20"/>
                <w:szCs w:val="20"/>
              </w:rPr>
              <w:t>.  Providing 113.</w:t>
            </w:r>
          </w:p>
        </w:tc>
      </w:tr>
      <w:tr w:rsidR="00F06C81" w:rsidRPr="00FB4A13" w:rsidTr="00A7502C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06C81" w:rsidRDefault="00F06C81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Off-street loading (Division 21)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81" w:rsidRPr="00FB4A13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81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06C81" w:rsidRPr="00FB4A13" w:rsidTr="00A7502C">
        <w:trPr>
          <w:trHeight w:val="5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06C81" w:rsidRDefault="00F06C81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Signs (Division 22)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81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Freestanding allowed, permit required</w:t>
            </w:r>
          </w:p>
          <w:p w:rsidR="00F06C81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Building sign allowed</w:t>
            </w:r>
          </w:p>
          <w:p w:rsidR="00F06C81" w:rsidRPr="00FB4A13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Roof sign prohibited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81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06C81" w:rsidRPr="00FB4A13" w:rsidTr="00A7502C">
        <w:trPr>
          <w:trHeight w:val="5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06C81" w:rsidRDefault="00F06C81" w:rsidP="00FB4A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Space &amp; Bulk (Division 25)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81" w:rsidRPr="00FB4A13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81" w:rsidRDefault="00F06C81" w:rsidP="00FB4A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502C" w:rsidRDefault="00A7502C" w:rsidP="00CE1F02">
      <w:pPr>
        <w:rPr>
          <w:rFonts w:asciiTheme="minorHAnsi" w:hAnsiTheme="minorHAnsi"/>
          <w:i/>
          <w:iCs/>
          <w:sz w:val="20"/>
          <w:szCs w:val="20"/>
        </w:rPr>
      </w:pPr>
    </w:p>
    <w:p w:rsidR="00A45D53" w:rsidRPr="00A7502C" w:rsidRDefault="006C79E7" w:rsidP="00CE1F02">
      <w:pPr>
        <w:rPr>
          <w:rFonts w:asciiTheme="minorHAnsi" w:hAnsiTheme="minorHAnsi" w:cstheme="minorHAnsi"/>
          <w:b/>
          <w:sz w:val="20"/>
          <w:szCs w:val="20"/>
        </w:rPr>
      </w:pPr>
      <w:r w:rsidRPr="00A7502C">
        <w:rPr>
          <w:rFonts w:asciiTheme="minorHAnsi" w:hAnsiTheme="minorHAnsi"/>
          <w:i/>
          <w:iCs/>
          <w:sz w:val="20"/>
          <w:szCs w:val="20"/>
        </w:rPr>
        <w:t>14-522 Site: A</w:t>
      </w:r>
      <w:r w:rsidRPr="00A7502C">
        <w:rPr>
          <w:rFonts w:asciiTheme="minorHAnsi" w:hAnsiTheme="minorHAnsi"/>
          <w:sz w:val="20"/>
          <w:szCs w:val="20"/>
        </w:rPr>
        <w:t>ll contiguous land under the same ownership or control, whether proposed for development or not, except where development is limited to a lot or lots within a subdivision.</w:t>
      </w:r>
    </w:p>
    <w:p w:rsidR="002D2D41" w:rsidRPr="002D2D41" w:rsidRDefault="002D2D41" w:rsidP="00E545D3">
      <w:pPr>
        <w:rPr>
          <w:rFonts w:asciiTheme="minorHAnsi" w:hAnsiTheme="minorHAnsi" w:cstheme="minorHAnsi"/>
          <w:b/>
          <w:sz w:val="20"/>
          <w:szCs w:val="20"/>
        </w:rPr>
      </w:pPr>
    </w:p>
    <w:p w:rsidR="002D2D41" w:rsidRPr="0074309D" w:rsidRDefault="002D2D41" w:rsidP="0074309D">
      <w:pPr>
        <w:rPr>
          <w:rFonts w:asciiTheme="minorHAnsi" w:hAnsiTheme="minorHAnsi" w:cstheme="minorHAnsi"/>
          <w:sz w:val="20"/>
          <w:szCs w:val="20"/>
        </w:rPr>
      </w:pPr>
    </w:p>
    <w:sectPr w:rsidR="002D2D41" w:rsidRPr="0074309D" w:rsidSect="00A45D53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76E53"/>
    <w:multiLevelType w:val="hybridMultilevel"/>
    <w:tmpl w:val="E5E62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B5B5A"/>
    <w:multiLevelType w:val="hybridMultilevel"/>
    <w:tmpl w:val="CB5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92778"/>
    <w:multiLevelType w:val="hybridMultilevel"/>
    <w:tmpl w:val="D15E7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22AEC"/>
    <w:rsid w:val="00042D32"/>
    <w:rsid w:val="000C29F1"/>
    <w:rsid w:val="000E70A0"/>
    <w:rsid w:val="00103D95"/>
    <w:rsid w:val="001C27A3"/>
    <w:rsid w:val="00215311"/>
    <w:rsid w:val="00293E76"/>
    <w:rsid w:val="002D2D41"/>
    <w:rsid w:val="002D6A61"/>
    <w:rsid w:val="003534AA"/>
    <w:rsid w:val="0037094A"/>
    <w:rsid w:val="00383B5C"/>
    <w:rsid w:val="00391846"/>
    <w:rsid w:val="003C43F4"/>
    <w:rsid w:val="003F56FD"/>
    <w:rsid w:val="00414EB7"/>
    <w:rsid w:val="00475882"/>
    <w:rsid w:val="004B5CE9"/>
    <w:rsid w:val="00582672"/>
    <w:rsid w:val="005E40C8"/>
    <w:rsid w:val="005F1DB3"/>
    <w:rsid w:val="00645743"/>
    <w:rsid w:val="006A7453"/>
    <w:rsid w:val="006C79E7"/>
    <w:rsid w:val="00741504"/>
    <w:rsid w:val="0074309D"/>
    <w:rsid w:val="0085623C"/>
    <w:rsid w:val="00874ABB"/>
    <w:rsid w:val="00895C7B"/>
    <w:rsid w:val="008B7820"/>
    <w:rsid w:val="00947C20"/>
    <w:rsid w:val="00983995"/>
    <w:rsid w:val="009A1799"/>
    <w:rsid w:val="009B7968"/>
    <w:rsid w:val="009C60DF"/>
    <w:rsid w:val="009D17CB"/>
    <w:rsid w:val="00A02497"/>
    <w:rsid w:val="00A45D53"/>
    <w:rsid w:val="00A7502C"/>
    <w:rsid w:val="00A76A94"/>
    <w:rsid w:val="00B02299"/>
    <w:rsid w:val="00B35D79"/>
    <w:rsid w:val="00B52AF9"/>
    <w:rsid w:val="00BB3D10"/>
    <w:rsid w:val="00C53C64"/>
    <w:rsid w:val="00CD44C8"/>
    <w:rsid w:val="00CE1F02"/>
    <w:rsid w:val="00D46985"/>
    <w:rsid w:val="00D52AF1"/>
    <w:rsid w:val="00D56ACE"/>
    <w:rsid w:val="00D91DB4"/>
    <w:rsid w:val="00E4117B"/>
    <w:rsid w:val="00E545D3"/>
    <w:rsid w:val="00E65F83"/>
    <w:rsid w:val="00E852F8"/>
    <w:rsid w:val="00E93D46"/>
    <w:rsid w:val="00EC2568"/>
    <w:rsid w:val="00EF4D59"/>
    <w:rsid w:val="00F06C81"/>
    <w:rsid w:val="00F44903"/>
    <w:rsid w:val="00F514B4"/>
    <w:rsid w:val="00F91968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9</cp:revision>
  <dcterms:created xsi:type="dcterms:W3CDTF">2014-11-24T16:36:00Z</dcterms:created>
  <dcterms:modified xsi:type="dcterms:W3CDTF">2015-02-19T19:06:00Z</dcterms:modified>
</cp:coreProperties>
</file>