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CF" w:rsidRPr="00F76DCF" w:rsidRDefault="00F76DCF" w:rsidP="00F76DCF">
      <w:pPr>
        <w:jc w:val="center"/>
        <w:rPr>
          <w:b/>
          <w:sz w:val="36"/>
          <w:szCs w:val="36"/>
        </w:rPr>
      </w:pPr>
      <w:bookmarkStart w:id="0" w:name="_GoBack"/>
      <w:bookmarkEnd w:id="0"/>
      <w:r w:rsidRPr="00F76DCF">
        <w:rPr>
          <w:b/>
          <w:sz w:val="36"/>
          <w:szCs w:val="36"/>
        </w:rPr>
        <w:t>EASEMENT DEED</w:t>
      </w:r>
    </w:p>
    <w:p w:rsidR="00F76DCF" w:rsidRDefault="00F76DCF" w:rsidP="00F76DCF">
      <w:pPr>
        <w:jc w:val="center"/>
        <w:rPr>
          <w:b/>
        </w:rPr>
      </w:pPr>
      <w:r w:rsidRPr="00F76DCF">
        <w:rPr>
          <w:b/>
        </w:rPr>
        <w:t>With Quitclaim Covenant</w:t>
      </w:r>
    </w:p>
    <w:p w:rsidR="00F76DCF" w:rsidRDefault="00F76DCF" w:rsidP="00F76DCF">
      <w:pPr>
        <w:jc w:val="center"/>
        <w:rPr>
          <w:b/>
        </w:rPr>
      </w:pPr>
    </w:p>
    <w:p w:rsidR="009838E5" w:rsidRDefault="00E517B6" w:rsidP="009838E5">
      <w:pPr>
        <w:jc w:val="both"/>
      </w:pPr>
      <w:r>
        <w:t>T</w:t>
      </w:r>
      <w:r w:rsidR="00F76DCF">
        <w:t xml:space="preserve">he </w:t>
      </w:r>
      <w:r w:rsidR="00F76DCF" w:rsidRPr="00F76DCF">
        <w:rPr>
          <w:b/>
        </w:rPr>
        <w:t>Maine Turnpike Authority</w:t>
      </w:r>
      <w:r w:rsidR="00F76DCF">
        <w:t>, a body corporate and politic</w:t>
      </w:r>
      <w:r>
        <w:t xml:space="preserve"> </w:t>
      </w:r>
      <w:r w:rsidR="00F76DCF">
        <w:t xml:space="preserve"> having an office at </w:t>
      </w:r>
      <w:r w:rsidR="00EF1B69">
        <w:t>2360</w:t>
      </w:r>
      <w:r w:rsidR="00F76DCF">
        <w:t xml:space="preserve"> </w:t>
      </w:r>
      <w:r w:rsidR="00EF1B69">
        <w:t>Congress</w:t>
      </w:r>
      <w:r w:rsidR="00F76DCF">
        <w:t xml:space="preserve"> Street, Portland, in the County of </w:t>
      </w:r>
      <w:r w:rsidR="00C468A4">
        <w:t xml:space="preserve">Cumberland, and State of Maine, </w:t>
      </w:r>
      <w:r w:rsidR="008B298A">
        <w:t xml:space="preserve">for consideration paid, </w:t>
      </w:r>
      <w:r>
        <w:t xml:space="preserve">grants to </w:t>
      </w:r>
      <w:r w:rsidRPr="00E402C1">
        <w:rPr>
          <w:b/>
        </w:rPr>
        <w:t>CJ Developers, Inc</w:t>
      </w:r>
      <w:r>
        <w:t xml:space="preserve">., </w:t>
      </w:r>
      <w:r w:rsidR="00C468A4">
        <w:t xml:space="preserve">with QUITCLAIM COVENANT, </w:t>
      </w:r>
      <w:r>
        <w:t>the right to construct and maintain an access</w:t>
      </w:r>
      <w:r w:rsidR="009E2982">
        <w:t xml:space="preserve"> </w:t>
      </w:r>
      <w:r w:rsidR="009E2982" w:rsidRPr="009E2982">
        <w:rPr>
          <w:u w:val="single"/>
        </w:rPr>
        <w:t>by vehicles and on foot</w:t>
      </w:r>
      <w:r>
        <w:t xml:space="preserve"> to and from its commercial development </w:t>
      </w:r>
      <w:r w:rsidR="009838E5">
        <w:t xml:space="preserve">and </w:t>
      </w:r>
      <w:r>
        <w:t>Congress Stre</w:t>
      </w:r>
      <w:r w:rsidR="009838E5">
        <w:t>et</w:t>
      </w:r>
      <w:r w:rsidR="009E2982">
        <w:t xml:space="preserve">, </w:t>
      </w:r>
      <w:r w:rsidR="009E2982" w:rsidRPr="009E2982">
        <w:rPr>
          <w:u w:val="single"/>
        </w:rPr>
        <w:t>and for all utilities</w:t>
      </w:r>
      <w:r w:rsidR="009E2982">
        <w:t>,</w:t>
      </w:r>
      <w:r w:rsidR="009838E5">
        <w:t xml:space="preserve"> across land of the Grantor adjoining property of the Grantee, further described as follows:</w:t>
      </w:r>
    </w:p>
    <w:p w:rsidR="009838E5" w:rsidRDefault="009838E5" w:rsidP="009838E5">
      <w:pPr>
        <w:jc w:val="both"/>
      </w:pPr>
    </w:p>
    <w:p w:rsidR="009838E5" w:rsidRPr="009838E5" w:rsidRDefault="009838E5" w:rsidP="009838E5">
      <w:pPr>
        <w:ind w:left="2160"/>
        <w:jc w:val="both"/>
        <w:rPr>
          <w:b/>
        </w:rPr>
      </w:pPr>
      <w:r>
        <w:rPr>
          <w:b/>
        </w:rPr>
        <w:t>{Description</w:t>
      </w:r>
      <w:r w:rsidR="008B298A">
        <w:rPr>
          <w:b/>
        </w:rPr>
        <w:t>, possibly including reference to plan</w:t>
      </w:r>
      <w:r>
        <w:rPr>
          <w:b/>
        </w:rPr>
        <w:t>}</w:t>
      </w:r>
    </w:p>
    <w:p w:rsidR="009838E5" w:rsidRDefault="009838E5" w:rsidP="009838E5">
      <w:pPr>
        <w:ind w:left="2160"/>
        <w:jc w:val="both"/>
      </w:pPr>
    </w:p>
    <w:p w:rsidR="00E517B6" w:rsidRDefault="00E517B6" w:rsidP="007D4158">
      <w:pPr>
        <w:jc w:val="both"/>
      </w:pPr>
    </w:p>
    <w:p w:rsidR="00025B0F" w:rsidRDefault="00025B0F" w:rsidP="007D4158">
      <w:pPr>
        <w:jc w:val="both"/>
      </w:pPr>
      <w:r>
        <w:t>Said grant to be conditioned on the following:</w:t>
      </w:r>
    </w:p>
    <w:p w:rsidR="00025B0F" w:rsidRDefault="00025B0F" w:rsidP="007D4158">
      <w:pPr>
        <w:jc w:val="both"/>
      </w:pPr>
    </w:p>
    <w:p w:rsidR="00025B0F" w:rsidRDefault="00B33527" w:rsidP="00025B0F">
      <w:pPr>
        <w:ind w:left="720"/>
        <w:jc w:val="both"/>
      </w:pPr>
      <w:r>
        <w:t xml:space="preserve">1.  That the easement is subject to temporary disruption, relocation, realignment </w:t>
      </w:r>
      <w:r w:rsidR="008B298A">
        <w:t>and/</w:t>
      </w:r>
      <w:r>
        <w:t>or re-grading if necessary for transportation purposes, including but not limited to work connected with the reconstruction, repair or widening of Congress Street or the Congress Street Bridge over the Maine Turnpike, with restoration of the entrance to its former condition to be at grantee's expense.</w:t>
      </w:r>
    </w:p>
    <w:p w:rsidR="00B33527" w:rsidRDefault="00B33527" w:rsidP="00025B0F">
      <w:pPr>
        <w:ind w:left="720"/>
        <w:jc w:val="both"/>
      </w:pPr>
    </w:p>
    <w:p w:rsidR="00B33527" w:rsidRDefault="00B33527" w:rsidP="00025B0F">
      <w:pPr>
        <w:ind w:left="720"/>
        <w:jc w:val="both"/>
      </w:pPr>
      <w:r>
        <w:t>2. That Grantee shall take all necessary provisions to accommodate the continued use of the easement area by Unitil Corporation for operation, maintenance and repair of its pipeline facility in accordance with Unitil's existing license agreement with Grantor, including but not limited to access by Unitil to the remainder of Grantor's property through the existing gated access point or a similar access point.</w:t>
      </w:r>
    </w:p>
    <w:p w:rsidR="00B33527" w:rsidRDefault="00B33527" w:rsidP="00025B0F">
      <w:pPr>
        <w:ind w:left="720"/>
        <w:jc w:val="both"/>
      </w:pPr>
    </w:p>
    <w:p w:rsidR="00B33527" w:rsidRPr="001852EB" w:rsidRDefault="00B33527" w:rsidP="00025B0F">
      <w:pPr>
        <w:ind w:left="720"/>
        <w:jc w:val="both"/>
        <w:rPr>
          <w:u w:val="single"/>
        </w:rPr>
      </w:pPr>
      <w:r>
        <w:t xml:space="preserve">3. That the access granted herein shall be the only access point to serve Grantee's property at 2282 Congress Street and that if Grantee obtains any other permanent access point to serve </w:t>
      </w:r>
      <w:r w:rsidR="00E54A08">
        <w:t xml:space="preserve">said property then the easement granted herein </w:t>
      </w:r>
      <w:r w:rsidR="00E54A08" w:rsidRPr="001852EB">
        <w:rPr>
          <w:strike/>
        </w:rPr>
        <w:t>shall terminate and all rights in the easement area shall revert to the Grantor.</w:t>
      </w:r>
      <w:r w:rsidR="001852EB" w:rsidRPr="001852EB">
        <w:rPr>
          <w:u w:val="single"/>
        </w:rPr>
        <w:t>and all</w:t>
      </w:r>
      <w:r w:rsidR="00F93B1A">
        <w:rPr>
          <w:u w:val="single"/>
        </w:rPr>
        <w:t xml:space="preserve"> access</w:t>
      </w:r>
      <w:r w:rsidR="001852EB" w:rsidRPr="001852EB">
        <w:rPr>
          <w:u w:val="single"/>
        </w:rPr>
        <w:t xml:space="preserve"> rights granted may be terminated at the discretion of the Grantor. PROVIDED, HOWEVER</w:t>
      </w:r>
      <w:r w:rsidR="001852EB">
        <w:rPr>
          <w:u w:val="single"/>
        </w:rPr>
        <w:t>, before exercising the rights retained herein, the Grantor will give Grantee notice and an opportunity to be heard on the existence of any other permanent access point serving the property.</w:t>
      </w:r>
    </w:p>
    <w:p w:rsidR="00025B0F" w:rsidRDefault="00025B0F" w:rsidP="007D4158">
      <w:pPr>
        <w:jc w:val="both"/>
      </w:pPr>
    </w:p>
    <w:p w:rsidR="00EF1B69" w:rsidRDefault="00EF1B69" w:rsidP="007D4158">
      <w:pPr>
        <w:jc w:val="both"/>
      </w:pPr>
    </w:p>
    <w:p w:rsidR="00AE1EA9" w:rsidRPr="00014D3F" w:rsidRDefault="00AE1EA9" w:rsidP="007D4158">
      <w:pPr>
        <w:tabs>
          <w:tab w:val="left" w:pos="1482"/>
          <w:tab w:val="left" w:pos="2508"/>
        </w:tabs>
        <w:jc w:val="both"/>
        <w:rPr>
          <w:sz w:val="23"/>
          <w:szCs w:val="23"/>
        </w:rPr>
      </w:pPr>
      <w:r w:rsidRPr="00014D3F">
        <w:rPr>
          <w:b/>
          <w:sz w:val="23"/>
          <w:szCs w:val="23"/>
        </w:rPr>
        <w:t>In Witness Whereof</w:t>
      </w:r>
      <w:r w:rsidRPr="00014D3F">
        <w:rPr>
          <w:sz w:val="23"/>
          <w:szCs w:val="23"/>
        </w:rPr>
        <w:t xml:space="preserve">, </w:t>
      </w:r>
      <w:r w:rsidR="008B298A">
        <w:rPr>
          <w:sz w:val="23"/>
          <w:szCs w:val="23"/>
        </w:rPr>
        <w:t>the Maine Turnpike Authority</w:t>
      </w:r>
      <w:r w:rsidRPr="00014D3F">
        <w:rPr>
          <w:sz w:val="23"/>
          <w:szCs w:val="23"/>
        </w:rPr>
        <w:t xml:space="preserve"> has caused this </w:t>
      </w:r>
      <w:r w:rsidR="00C468A4">
        <w:rPr>
          <w:sz w:val="23"/>
          <w:szCs w:val="23"/>
        </w:rPr>
        <w:t>instrument to be s</w:t>
      </w:r>
      <w:r w:rsidRPr="00014D3F">
        <w:rPr>
          <w:sz w:val="23"/>
          <w:szCs w:val="23"/>
        </w:rPr>
        <w:t>i</w:t>
      </w:r>
      <w:r w:rsidR="008D789B">
        <w:rPr>
          <w:sz w:val="23"/>
          <w:szCs w:val="23"/>
        </w:rPr>
        <w:t>gned this</w:t>
      </w:r>
      <w:r w:rsidR="006A3B02">
        <w:rPr>
          <w:sz w:val="23"/>
          <w:szCs w:val="23"/>
        </w:rPr>
        <w:t xml:space="preserve"> </w:t>
      </w:r>
      <w:r w:rsidR="00EF1B69">
        <w:rPr>
          <w:sz w:val="23"/>
          <w:szCs w:val="23"/>
        </w:rPr>
        <w:t>_____</w:t>
      </w:r>
      <w:r w:rsidR="006A3B02">
        <w:rPr>
          <w:sz w:val="23"/>
          <w:szCs w:val="23"/>
        </w:rPr>
        <w:t xml:space="preserve"> </w:t>
      </w:r>
      <w:r w:rsidRPr="00014D3F">
        <w:rPr>
          <w:sz w:val="23"/>
          <w:szCs w:val="23"/>
        </w:rPr>
        <w:t xml:space="preserve">day of </w:t>
      </w:r>
      <w:r w:rsidR="008B298A">
        <w:rPr>
          <w:sz w:val="23"/>
          <w:szCs w:val="23"/>
        </w:rPr>
        <w:t>May, 2013.</w:t>
      </w:r>
    </w:p>
    <w:p w:rsidR="00AE1EA9" w:rsidRDefault="00AE1EA9" w:rsidP="00AE1EA9">
      <w:pPr>
        <w:tabs>
          <w:tab w:val="left" w:pos="2108"/>
          <w:tab w:val="right" w:pos="9399"/>
        </w:tabs>
        <w:overflowPunct w:val="0"/>
        <w:autoSpaceDE w:val="0"/>
        <w:autoSpaceDN w:val="0"/>
        <w:adjustRightInd w:val="0"/>
        <w:rPr>
          <w:sz w:val="23"/>
          <w:szCs w:val="23"/>
        </w:rPr>
      </w:pPr>
    </w:p>
    <w:p w:rsidR="00EF1B69" w:rsidRDefault="00EF1B69" w:rsidP="00AE1EA9">
      <w:pPr>
        <w:tabs>
          <w:tab w:val="left" w:pos="2108"/>
          <w:tab w:val="right" w:pos="9399"/>
        </w:tabs>
        <w:overflowPunct w:val="0"/>
        <w:autoSpaceDE w:val="0"/>
        <w:autoSpaceDN w:val="0"/>
        <w:adjustRightInd w:val="0"/>
        <w:rPr>
          <w:sz w:val="23"/>
          <w:szCs w:val="23"/>
        </w:rPr>
      </w:pPr>
    </w:p>
    <w:p w:rsidR="006A3B02" w:rsidRDefault="006A3B02" w:rsidP="00AE1EA9">
      <w:pPr>
        <w:tabs>
          <w:tab w:val="left" w:pos="4500"/>
          <w:tab w:val="left" w:pos="4950"/>
        </w:tabs>
      </w:pPr>
    </w:p>
    <w:p w:rsidR="00AE1EA9" w:rsidRPr="00AE1EA9" w:rsidRDefault="00AE1EA9" w:rsidP="00AE1EA9">
      <w:pPr>
        <w:tabs>
          <w:tab w:val="left" w:pos="4500"/>
          <w:tab w:val="left" w:pos="4950"/>
        </w:tabs>
        <w:rPr>
          <w:b/>
        </w:rPr>
      </w:pPr>
      <w:r w:rsidRPr="00AE1EA9">
        <w:t>SIGNED, SEALED AND DELIVERED</w:t>
      </w:r>
      <w:r w:rsidRPr="00AE1EA9">
        <w:tab/>
      </w:r>
      <w:r w:rsidRPr="00AE1EA9">
        <w:rPr>
          <w:b/>
        </w:rPr>
        <w:t xml:space="preserve"> </w:t>
      </w:r>
    </w:p>
    <w:p w:rsidR="00AE1EA9" w:rsidRPr="00AE1EA9" w:rsidRDefault="00AE1EA9" w:rsidP="00AE1EA9">
      <w:pPr>
        <w:tabs>
          <w:tab w:val="left" w:pos="4320"/>
          <w:tab w:val="left" w:pos="5220"/>
        </w:tabs>
      </w:pPr>
      <w:r w:rsidRPr="00AE1EA9">
        <w:t>IN THE PRESENCE OF:</w:t>
      </w:r>
    </w:p>
    <w:p w:rsidR="00AE1EA9" w:rsidRPr="00AE1EA9" w:rsidRDefault="00AE1EA9" w:rsidP="00AE1EA9">
      <w:pPr>
        <w:tabs>
          <w:tab w:val="left" w:pos="4320"/>
          <w:tab w:val="left" w:pos="5220"/>
        </w:tabs>
      </w:pPr>
    </w:p>
    <w:p w:rsidR="006A3B02" w:rsidRDefault="006A3B02" w:rsidP="00AE1EA9">
      <w:pPr>
        <w:tabs>
          <w:tab w:val="left" w:pos="1440"/>
          <w:tab w:val="left" w:pos="3960"/>
          <w:tab w:val="left" w:pos="4500"/>
          <w:tab w:val="left" w:pos="5220"/>
          <w:tab w:val="left" w:pos="8820"/>
        </w:tabs>
        <w:spacing w:before="120"/>
        <w:rPr>
          <w:sz w:val="22"/>
          <w:szCs w:val="22"/>
          <w:u w:val="single"/>
        </w:rPr>
      </w:pPr>
    </w:p>
    <w:p w:rsidR="00AE1EA9" w:rsidRPr="007D32FD" w:rsidRDefault="00AE1EA9" w:rsidP="00AE1EA9">
      <w:pPr>
        <w:tabs>
          <w:tab w:val="left" w:pos="1440"/>
          <w:tab w:val="left" w:pos="3960"/>
          <w:tab w:val="left" w:pos="4500"/>
          <w:tab w:val="left" w:pos="5220"/>
          <w:tab w:val="left" w:pos="8820"/>
        </w:tabs>
        <w:spacing w:before="120"/>
        <w:rPr>
          <w:sz w:val="22"/>
          <w:szCs w:val="22"/>
          <w:u w:val="single"/>
        </w:rPr>
      </w:pPr>
      <w:r w:rsidRPr="007D32FD">
        <w:rPr>
          <w:sz w:val="22"/>
          <w:szCs w:val="22"/>
          <w:u w:val="single"/>
        </w:rPr>
        <w:lastRenderedPageBreak/>
        <w:tab/>
      </w:r>
      <w:r w:rsidRPr="007D32FD">
        <w:rPr>
          <w:sz w:val="22"/>
          <w:szCs w:val="22"/>
          <w:u w:val="single"/>
        </w:rPr>
        <w:tab/>
      </w:r>
      <w:r w:rsidRPr="007D32FD">
        <w:rPr>
          <w:sz w:val="22"/>
          <w:szCs w:val="22"/>
        </w:rPr>
        <w:tab/>
      </w:r>
      <w:r w:rsidRPr="007D32FD">
        <w:rPr>
          <w:sz w:val="22"/>
          <w:szCs w:val="22"/>
          <w:u w:val="single"/>
        </w:rPr>
        <w:tab/>
      </w:r>
      <w:r w:rsidRPr="007D32FD">
        <w:rPr>
          <w:sz w:val="22"/>
          <w:szCs w:val="22"/>
          <w:u w:val="single"/>
        </w:rPr>
        <w:tab/>
      </w:r>
    </w:p>
    <w:p w:rsidR="00AE1EA9" w:rsidRDefault="008B298A" w:rsidP="00AE1EA9">
      <w:pPr>
        <w:tabs>
          <w:tab w:val="left" w:pos="1440"/>
          <w:tab w:val="left" w:pos="3960"/>
          <w:tab w:val="left" w:pos="4500"/>
          <w:tab w:val="left" w:pos="5220"/>
          <w:tab w:val="left" w:pos="9270"/>
        </w:tabs>
        <w:rPr>
          <w:sz w:val="20"/>
          <w:szCs w:val="20"/>
        </w:rPr>
      </w:pPr>
      <w:r>
        <w:rPr>
          <w:sz w:val="20"/>
          <w:szCs w:val="20"/>
        </w:rPr>
        <w:t>Jonathan Arey, Secretary, as Witness</w:t>
      </w:r>
      <w:r>
        <w:rPr>
          <w:sz w:val="20"/>
          <w:szCs w:val="20"/>
        </w:rPr>
        <w:tab/>
      </w:r>
      <w:r>
        <w:rPr>
          <w:sz w:val="20"/>
          <w:szCs w:val="20"/>
        </w:rPr>
        <w:tab/>
        <w:t>Peter Mills, Executive Director</w:t>
      </w:r>
    </w:p>
    <w:p w:rsidR="008B298A" w:rsidRPr="00F842C8" w:rsidRDefault="008B298A" w:rsidP="00AE1EA9">
      <w:pPr>
        <w:tabs>
          <w:tab w:val="left" w:pos="1440"/>
          <w:tab w:val="left" w:pos="3960"/>
          <w:tab w:val="left" w:pos="4500"/>
          <w:tab w:val="left" w:pos="5220"/>
          <w:tab w:val="left" w:pos="9270"/>
        </w:tabs>
        <w:rPr>
          <w:b/>
          <w:sz w:val="20"/>
          <w:szCs w:val="20"/>
        </w:rPr>
      </w:pPr>
      <w:r>
        <w:rPr>
          <w:sz w:val="20"/>
          <w:szCs w:val="20"/>
        </w:rPr>
        <w:t>Maine Turnpike Authority</w:t>
      </w:r>
      <w:r>
        <w:rPr>
          <w:sz w:val="20"/>
          <w:szCs w:val="20"/>
        </w:rPr>
        <w:tab/>
      </w:r>
      <w:r>
        <w:rPr>
          <w:sz w:val="20"/>
          <w:szCs w:val="20"/>
        </w:rPr>
        <w:tab/>
        <w:t>Maine Turnpike Authority</w:t>
      </w:r>
    </w:p>
    <w:p w:rsidR="00AE1EA9" w:rsidRDefault="00AE1EA9" w:rsidP="00392D06">
      <w:pPr>
        <w:tabs>
          <w:tab w:val="left" w:pos="5850"/>
        </w:tabs>
        <w:ind w:left="3600" w:firstLine="720"/>
        <w:rPr>
          <w:sz w:val="22"/>
          <w:szCs w:val="22"/>
        </w:rPr>
      </w:pPr>
    </w:p>
    <w:p w:rsidR="00EF1B69" w:rsidRDefault="00EF1B69" w:rsidP="00392D06">
      <w:pPr>
        <w:tabs>
          <w:tab w:val="left" w:pos="5850"/>
        </w:tabs>
        <w:ind w:left="3600" w:firstLine="720"/>
        <w:rPr>
          <w:sz w:val="22"/>
          <w:szCs w:val="22"/>
        </w:rPr>
      </w:pPr>
    </w:p>
    <w:p w:rsidR="00EF1B69" w:rsidRDefault="00EF1B69" w:rsidP="00392D06">
      <w:pPr>
        <w:tabs>
          <w:tab w:val="left" w:pos="5850"/>
        </w:tabs>
        <w:ind w:left="3600" w:firstLine="720"/>
        <w:rPr>
          <w:sz w:val="22"/>
          <w:szCs w:val="22"/>
        </w:rPr>
      </w:pPr>
    </w:p>
    <w:p w:rsidR="006A3B02" w:rsidRPr="00392D06" w:rsidRDefault="006A3B02" w:rsidP="00392D06">
      <w:pPr>
        <w:tabs>
          <w:tab w:val="left" w:pos="5850"/>
        </w:tabs>
        <w:ind w:left="3600" w:firstLine="720"/>
        <w:rPr>
          <w:sz w:val="22"/>
          <w:szCs w:val="22"/>
        </w:rPr>
      </w:pPr>
    </w:p>
    <w:p w:rsidR="00AE1EA9" w:rsidRPr="00AE1EA9" w:rsidRDefault="00F842C8" w:rsidP="00AE1EA9">
      <w:pPr>
        <w:rPr>
          <w:b/>
        </w:rPr>
      </w:pPr>
      <w:r>
        <w:rPr>
          <w:b/>
        </w:rPr>
        <w:t xml:space="preserve">STATE OF </w:t>
      </w:r>
      <w:smartTag w:uri="urn:schemas-microsoft-com:office:smarttags" w:element="State">
        <w:smartTag w:uri="urn:schemas-microsoft-com:office:smarttags" w:element="place">
          <w:r>
            <w:rPr>
              <w:b/>
            </w:rPr>
            <w:t>MAINE</w:t>
          </w:r>
        </w:smartTag>
      </w:smartTag>
    </w:p>
    <w:p w:rsidR="00AE1EA9" w:rsidRPr="00AE1EA9" w:rsidRDefault="00F842C8" w:rsidP="00AE1EA9">
      <w:pPr>
        <w:rPr>
          <w:b/>
        </w:rPr>
      </w:pPr>
      <w:r>
        <w:rPr>
          <w:b/>
        </w:rPr>
        <w:t xml:space="preserve">COUNTY OF </w:t>
      </w:r>
      <w:r w:rsidR="00011133">
        <w:rPr>
          <w:b/>
        </w:rPr>
        <w:t>CUMBERLAND</w:t>
      </w:r>
      <w:r w:rsidR="00AE1EA9" w:rsidRPr="00AE1EA9">
        <w:rPr>
          <w:b/>
        </w:rPr>
        <w:t>, ss.</w:t>
      </w:r>
      <w:r w:rsidR="00EF1B69">
        <w:rPr>
          <w:b/>
        </w:rPr>
        <w:t xml:space="preserve"> </w:t>
      </w:r>
      <w:r>
        <w:rPr>
          <w:b/>
        </w:rPr>
        <w:tab/>
      </w:r>
      <w:r>
        <w:rPr>
          <w:b/>
        </w:rPr>
        <w:tab/>
      </w:r>
      <w:r>
        <w:rPr>
          <w:b/>
        </w:rPr>
        <w:tab/>
      </w:r>
      <w:r>
        <w:rPr>
          <w:b/>
        </w:rPr>
        <w:tab/>
      </w:r>
      <w:r w:rsidR="00EF1B69">
        <w:rPr>
          <w:b/>
        </w:rPr>
        <w:t xml:space="preserve">    </w:t>
      </w:r>
      <w:r w:rsidR="00E402C1">
        <w:t>May</w:t>
      </w:r>
      <w:r w:rsidR="00EF1B69">
        <w:t xml:space="preserve"> _____</w:t>
      </w:r>
      <w:r w:rsidRPr="00F842C8">
        <w:t>, 20</w:t>
      </w:r>
      <w:r w:rsidR="00E402C1">
        <w:t>13</w:t>
      </w:r>
    </w:p>
    <w:p w:rsidR="00AE1EA9" w:rsidRPr="00AE1EA9" w:rsidRDefault="00AE1EA9" w:rsidP="00AE1EA9"/>
    <w:p w:rsidR="00AE1EA9" w:rsidRPr="00AE1EA9" w:rsidRDefault="00AE1EA9" w:rsidP="00AE1EA9">
      <w:pPr>
        <w:jc w:val="both"/>
      </w:pPr>
      <w:r w:rsidRPr="00AE1EA9">
        <w:t xml:space="preserve">Personally appeared the above named </w:t>
      </w:r>
      <w:r w:rsidR="008B298A">
        <w:t>Peter Mills,</w:t>
      </w:r>
      <w:r w:rsidRPr="00AE1EA9">
        <w:t xml:space="preserve"> and acknowledged the foregoing instrument to be his free act and deed.</w:t>
      </w:r>
    </w:p>
    <w:p w:rsidR="00917930" w:rsidRDefault="00917930" w:rsidP="00AE1EA9"/>
    <w:p w:rsidR="00EF1B69" w:rsidRDefault="00EF1B69" w:rsidP="00AE1EA9"/>
    <w:p w:rsidR="00AE1EA9" w:rsidRPr="00AE1EA9" w:rsidRDefault="00AE1EA9" w:rsidP="00AE1EA9">
      <w:r w:rsidRPr="00AE1EA9">
        <w:tab/>
      </w:r>
      <w:r w:rsidRPr="00AE1EA9">
        <w:tab/>
      </w:r>
      <w:r w:rsidRPr="00AE1EA9">
        <w:tab/>
      </w:r>
      <w:r w:rsidRPr="00AE1EA9">
        <w:tab/>
      </w:r>
      <w:r w:rsidRPr="00AE1EA9">
        <w:tab/>
      </w:r>
      <w:r w:rsidRPr="00AE1EA9">
        <w:tab/>
      </w:r>
      <w:r w:rsidR="00392D06">
        <w:t xml:space="preserve">          </w:t>
      </w:r>
      <w:r w:rsidRPr="00AE1EA9">
        <w:t>Before me,</w:t>
      </w:r>
    </w:p>
    <w:p w:rsidR="00917930" w:rsidRDefault="00917930" w:rsidP="00AE1EA9">
      <w:pPr>
        <w:tabs>
          <w:tab w:val="left" w:pos="4950"/>
          <w:tab w:val="left" w:pos="8460"/>
        </w:tabs>
        <w:spacing w:before="120"/>
        <w:rPr>
          <w:sz w:val="23"/>
          <w:szCs w:val="23"/>
        </w:rPr>
      </w:pPr>
    </w:p>
    <w:p w:rsidR="00AE1EA9" w:rsidRPr="007D32FD" w:rsidRDefault="00392D06" w:rsidP="00AE1EA9">
      <w:pPr>
        <w:tabs>
          <w:tab w:val="left" w:pos="4950"/>
          <w:tab w:val="left" w:pos="8460"/>
        </w:tabs>
        <w:spacing w:before="120"/>
        <w:rPr>
          <w:sz w:val="22"/>
          <w:szCs w:val="22"/>
        </w:rPr>
      </w:pPr>
      <w:r>
        <w:rPr>
          <w:sz w:val="23"/>
          <w:szCs w:val="23"/>
        </w:rPr>
        <w:tab/>
      </w:r>
      <w:r w:rsidR="00AE1EA9">
        <w:rPr>
          <w:sz w:val="23"/>
          <w:szCs w:val="23"/>
          <w:u w:val="single"/>
        </w:rPr>
        <w:tab/>
      </w:r>
      <w:r w:rsidR="00AE1EA9" w:rsidRPr="007D32FD">
        <w:rPr>
          <w:sz w:val="22"/>
          <w:szCs w:val="22"/>
        </w:rPr>
        <w:tab/>
      </w:r>
    </w:p>
    <w:p w:rsidR="00EF1B69" w:rsidRDefault="00AE1EA9" w:rsidP="00F842C8">
      <w:pPr>
        <w:tabs>
          <w:tab w:val="left" w:pos="4950"/>
          <w:tab w:val="left" w:pos="8460"/>
        </w:tabs>
        <w:rPr>
          <w:sz w:val="22"/>
          <w:szCs w:val="22"/>
        </w:rPr>
      </w:pPr>
      <w:r>
        <w:rPr>
          <w:sz w:val="20"/>
        </w:rPr>
        <w:tab/>
      </w:r>
      <w:r w:rsidRPr="00F842C8">
        <w:rPr>
          <w:sz w:val="20"/>
          <w:szCs w:val="20"/>
        </w:rPr>
        <w:t>Notary Public</w:t>
      </w:r>
      <w:r w:rsidR="00F842C8">
        <w:rPr>
          <w:sz w:val="22"/>
          <w:szCs w:val="22"/>
        </w:rPr>
        <w:tab/>
      </w:r>
      <w:r w:rsidR="00F842C8">
        <w:rPr>
          <w:sz w:val="22"/>
          <w:szCs w:val="22"/>
        </w:rPr>
        <w:tab/>
      </w:r>
      <w:r w:rsidR="00F842C8">
        <w:rPr>
          <w:sz w:val="22"/>
          <w:szCs w:val="22"/>
        </w:rPr>
        <w:tab/>
      </w:r>
    </w:p>
    <w:p w:rsidR="00EF1B69" w:rsidRDefault="00EF1B69" w:rsidP="00F842C8">
      <w:pPr>
        <w:tabs>
          <w:tab w:val="left" w:pos="4950"/>
          <w:tab w:val="left" w:pos="8460"/>
        </w:tabs>
        <w:rPr>
          <w:sz w:val="22"/>
          <w:szCs w:val="22"/>
        </w:rPr>
      </w:pPr>
    </w:p>
    <w:p w:rsidR="00EF1B69" w:rsidRDefault="00EF1B69" w:rsidP="00F842C8">
      <w:pPr>
        <w:tabs>
          <w:tab w:val="left" w:pos="4950"/>
          <w:tab w:val="left" w:pos="8460"/>
        </w:tabs>
        <w:rPr>
          <w:sz w:val="22"/>
          <w:szCs w:val="22"/>
        </w:rPr>
      </w:pPr>
    </w:p>
    <w:p w:rsidR="00EF1B69" w:rsidRDefault="00EF1B69" w:rsidP="00F842C8">
      <w:pPr>
        <w:tabs>
          <w:tab w:val="left" w:pos="4950"/>
          <w:tab w:val="left" w:pos="8460"/>
        </w:tabs>
        <w:rPr>
          <w:sz w:val="22"/>
          <w:szCs w:val="22"/>
        </w:rPr>
      </w:pPr>
    </w:p>
    <w:p w:rsidR="00EF1B69" w:rsidRDefault="00EF1B69" w:rsidP="00F842C8">
      <w:pPr>
        <w:tabs>
          <w:tab w:val="left" w:pos="4950"/>
          <w:tab w:val="left" w:pos="8460"/>
        </w:tabs>
        <w:rPr>
          <w:sz w:val="22"/>
          <w:szCs w:val="22"/>
        </w:rPr>
      </w:pPr>
    </w:p>
    <w:p w:rsidR="00EF1B69" w:rsidRDefault="00EF1B69" w:rsidP="00F842C8">
      <w:pPr>
        <w:tabs>
          <w:tab w:val="left" w:pos="4950"/>
          <w:tab w:val="left" w:pos="8460"/>
        </w:tabs>
        <w:rPr>
          <w:sz w:val="22"/>
          <w:szCs w:val="22"/>
        </w:rPr>
      </w:pPr>
    </w:p>
    <w:sectPr w:rsidR="00EF1B69" w:rsidSect="00DB7093">
      <w:footerReference w:type="default" r:id="rId7"/>
      <w:pgSz w:w="12240" w:h="15840"/>
      <w:pgMar w:top="1440" w:right="1800" w:bottom="1152" w:left="1800" w:header="720" w:footer="720" w:gutter="0"/>
      <w:pgBorders>
        <w:left w:val="double" w:sz="12" w:space="4" w:color="FF0000"/>
        <w:right w:val="double" w:sz="12" w:space="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CE" w:rsidRDefault="001670CE">
      <w:r>
        <w:separator/>
      </w:r>
    </w:p>
  </w:endnote>
  <w:endnote w:type="continuationSeparator" w:id="0">
    <w:p w:rsidR="001670CE" w:rsidRDefault="0016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CD" w:rsidRPr="00F842C8" w:rsidRDefault="007353CD" w:rsidP="00F842C8">
    <w:pPr>
      <w:pStyle w:val="Footer"/>
      <w:jc w:val="center"/>
      <w:rPr>
        <w:color w:val="333333"/>
        <w:sz w:val="20"/>
        <w:szCs w:val="20"/>
      </w:rPr>
    </w:pPr>
    <w:r w:rsidRPr="00F842C8">
      <w:rPr>
        <w:rStyle w:val="PageNumber"/>
        <w:color w:val="333333"/>
        <w:sz w:val="20"/>
        <w:szCs w:val="20"/>
      </w:rPr>
      <w:t xml:space="preserve">Page </w:t>
    </w:r>
    <w:r w:rsidR="00F3656B" w:rsidRPr="00F842C8">
      <w:rPr>
        <w:rStyle w:val="PageNumber"/>
        <w:color w:val="333333"/>
        <w:sz w:val="20"/>
        <w:szCs w:val="20"/>
      </w:rPr>
      <w:fldChar w:fldCharType="begin"/>
    </w:r>
    <w:r w:rsidRPr="00F842C8">
      <w:rPr>
        <w:rStyle w:val="PageNumber"/>
        <w:color w:val="333333"/>
        <w:sz w:val="20"/>
        <w:szCs w:val="20"/>
      </w:rPr>
      <w:instrText xml:space="preserve"> PAGE </w:instrText>
    </w:r>
    <w:r w:rsidR="00F3656B" w:rsidRPr="00F842C8">
      <w:rPr>
        <w:rStyle w:val="PageNumber"/>
        <w:color w:val="333333"/>
        <w:sz w:val="20"/>
        <w:szCs w:val="20"/>
      </w:rPr>
      <w:fldChar w:fldCharType="separate"/>
    </w:r>
    <w:r w:rsidR="00410FB0">
      <w:rPr>
        <w:rStyle w:val="PageNumber"/>
        <w:noProof/>
        <w:color w:val="333333"/>
        <w:sz w:val="20"/>
        <w:szCs w:val="20"/>
      </w:rPr>
      <w:t>1</w:t>
    </w:r>
    <w:r w:rsidR="00F3656B" w:rsidRPr="00F842C8">
      <w:rPr>
        <w:rStyle w:val="PageNumber"/>
        <w:color w:val="333333"/>
        <w:sz w:val="20"/>
        <w:szCs w:val="20"/>
      </w:rPr>
      <w:fldChar w:fldCharType="end"/>
    </w:r>
    <w:r w:rsidRPr="00F842C8">
      <w:rPr>
        <w:rStyle w:val="PageNumber"/>
        <w:color w:val="333333"/>
        <w:sz w:val="20"/>
        <w:szCs w:val="20"/>
      </w:rPr>
      <w:t xml:space="preserve"> of </w:t>
    </w:r>
    <w:r w:rsidR="00F3656B" w:rsidRPr="00F842C8">
      <w:rPr>
        <w:rStyle w:val="PageNumber"/>
        <w:color w:val="333333"/>
        <w:sz w:val="20"/>
        <w:szCs w:val="20"/>
      </w:rPr>
      <w:fldChar w:fldCharType="begin"/>
    </w:r>
    <w:r w:rsidRPr="00F842C8">
      <w:rPr>
        <w:rStyle w:val="PageNumber"/>
        <w:color w:val="333333"/>
        <w:sz w:val="20"/>
        <w:szCs w:val="20"/>
      </w:rPr>
      <w:instrText xml:space="preserve"> NUMPAGES </w:instrText>
    </w:r>
    <w:r w:rsidR="00F3656B" w:rsidRPr="00F842C8">
      <w:rPr>
        <w:rStyle w:val="PageNumber"/>
        <w:color w:val="333333"/>
        <w:sz w:val="20"/>
        <w:szCs w:val="20"/>
      </w:rPr>
      <w:fldChar w:fldCharType="separate"/>
    </w:r>
    <w:r w:rsidR="00410FB0">
      <w:rPr>
        <w:rStyle w:val="PageNumber"/>
        <w:noProof/>
        <w:color w:val="333333"/>
        <w:sz w:val="20"/>
        <w:szCs w:val="20"/>
      </w:rPr>
      <w:t>2</w:t>
    </w:r>
    <w:r w:rsidR="00F3656B" w:rsidRPr="00F842C8">
      <w:rPr>
        <w:rStyle w:val="PageNumber"/>
        <w:color w:val="3333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CE" w:rsidRDefault="001670CE">
      <w:r>
        <w:separator/>
      </w:r>
    </w:p>
  </w:footnote>
  <w:footnote w:type="continuationSeparator" w:id="0">
    <w:p w:rsidR="001670CE" w:rsidRDefault="00167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DCF"/>
    <w:rsid w:val="00011133"/>
    <w:rsid w:val="000120AA"/>
    <w:rsid w:val="00025B0F"/>
    <w:rsid w:val="00062EA1"/>
    <w:rsid w:val="000C1A04"/>
    <w:rsid w:val="001632ED"/>
    <w:rsid w:val="001670CE"/>
    <w:rsid w:val="00167DF1"/>
    <w:rsid w:val="001852EB"/>
    <w:rsid w:val="001B75E8"/>
    <w:rsid w:val="002134FE"/>
    <w:rsid w:val="00216700"/>
    <w:rsid w:val="002D68BA"/>
    <w:rsid w:val="00300F14"/>
    <w:rsid w:val="00313EE9"/>
    <w:rsid w:val="00392D06"/>
    <w:rsid w:val="00410FB0"/>
    <w:rsid w:val="004321BB"/>
    <w:rsid w:val="00510FDB"/>
    <w:rsid w:val="006932A8"/>
    <w:rsid w:val="006A3B02"/>
    <w:rsid w:val="006F23D9"/>
    <w:rsid w:val="00715704"/>
    <w:rsid w:val="007353CD"/>
    <w:rsid w:val="007A045B"/>
    <w:rsid w:val="007D4158"/>
    <w:rsid w:val="00854BFD"/>
    <w:rsid w:val="008B298A"/>
    <w:rsid w:val="008D789B"/>
    <w:rsid w:val="00917930"/>
    <w:rsid w:val="00943005"/>
    <w:rsid w:val="009838E5"/>
    <w:rsid w:val="009B4E32"/>
    <w:rsid w:val="009E2982"/>
    <w:rsid w:val="00A543C9"/>
    <w:rsid w:val="00A73445"/>
    <w:rsid w:val="00AB77EA"/>
    <w:rsid w:val="00AE1EA9"/>
    <w:rsid w:val="00B33527"/>
    <w:rsid w:val="00C13AC4"/>
    <w:rsid w:val="00C42B3B"/>
    <w:rsid w:val="00C45FB8"/>
    <w:rsid w:val="00C468A4"/>
    <w:rsid w:val="00C55F47"/>
    <w:rsid w:val="00DB7093"/>
    <w:rsid w:val="00E402C1"/>
    <w:rsid w:val="00E517B6"/>
    <w:rsid w:val="00E54A08"/>
    <w:rsid w:val="00E94F8F"/>
    <w:rsid w:val="00EB247E"/>
    <w:rsid w:val="00EB73E7"/>
    <w:rsid w:val="00EF1B69"/>
    <w:rsid w:val="00F3656B"/>
    <w:rsid w:val="00F76DCF"/>
    <w:rsid w:val="00F842C8"/>
    <w:rsid w:val="00F93B1A"/>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2C8"/>
    <w:pPr>
      <w:tabs>
        <w:tab w:val="center" w:pos="4320"/>
        <w:tab w:val="right" w:pos="8640"/>
      </w:tabs>
    </w:pPr>
  </w:style>
  <w:style w:type="paragraph" w:styleId="Footer">
    <w:name w:val="footer"/>
    <w:basedOn w:val="Normal"/>
    <w:rsid w:val="00F842C8"/>
    <w:pPr>
      <w:tabs>
        <w:tab w:val="center" w:pos="4320"/>
        <w:tab w:val="right" w:pos="8640"/>
      </w:tabs>
    </w:pPr>
  </w:style>
  <w:style w:type="character" w:styleId="PageNumber">
    <w:name w:val="page number"/>
    <w:basedOn w:val="DefaultParagraphFont"/>
    <w:rsid w:val="00F842C8"/>
  </w:style>
  <w:style w:type="paragraph" w:styleId="BalloonText">
    <w:name w:val="Balloon Text"/>
    <w:basedOn w:val="Normal"/>
    <w:semiHidden/>
    <w:rsid w:val="00C55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EASEMENT DEED</vt:lpstr>
    </vt:vector>
  </TitlesOfParts>
  <Company>Maine Turnpike Authority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DEED</dc:title>
  <dc:creator>Scott N. Lachance</dc:creator>
  <cp:lastModifiedBy>Jean Fraser</cp:lastModifiedBy>
  <cp:revision>3</cp:revision>
  <cp:lastPrinted>2013-05-09T14:40:00Z</cp:lastPrinted>
  <dcterms:created xsi:type="dcterms:W3CDTF">2013-05-09T14:54:00Z</dcterms:created>
  <dcterms:modified xsi:type="dcterms:W3CDTF">2013-05-09T14:54:00Z</dcterms:modified>
</cp:coreProperties>
</file>