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B2" w:rsidRDefault="00B31EB2" w:rsidP="00B31EB2">
      <w:pPr>
        <w:pStyle w:val="Heading1"/>
      </w:pPr>
      <w:bookmarkStart w:id="0" w:name="_GoBack"/>
      <w:bookmarkEnd w:id="0"/>
      <w:r>
        <w:t>CITY OF PORTLAND, MAINE</w:t>
      </w:r>
    </w:p>
    <w:p w:rsidR="00B31EB2" w:rsidRDefault="00B31EB2" w:rsidP="00B31EB2">
      <w:pPr>
        <w:spacing w:line="57" w:lineRule="exact"/>
        <w:rPr>
          <w:rFonts w:ascii="EngraversGothic BT" w:hAnsi="EngraversGothic BT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36195"/>
                <wp:effectExtent l="0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A1796A" id="Rectangle 2" o:spid="_x0000_s1026" style="position:absolute;margin-left:36pt;margin-top:0;width:540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js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31EB2" w:rsidRDefault="00B31EB2" w:rsidP="00B31EB2">
      <w:pPr>
        <w:rPr>
          <w:rFonts w:ascii="EngraversGothic BT" w:hAnsi="EngraversGothic BT"/>
          <w:sz w:val="40"/>
        </w:rPr>
      </w:pPr>
      <w:r>
        <w:rPr>
          <w:rFonts w:ascii="EngraversGothic BT" w:hAnsi="EngraversGothic BT"/>
          <w:b/>
          <w:sz w:val="40"/>
        </w:rPr>
        <w:t>ZONING BOARD OF APPEALS</w:t>
      </w:r>
    </w:p>
    <w:p w:rsidR="00B31EB2" w:rsidRDefault="00B31EB2" w:rsidP="00B31EB2">
      <w:pPr>
        <w:rPr>
          <w:sz w:val="16"/>
        </w:rPr>
      </w:pPr>
    </w:p>
    <w:p w:rsidR="00B31EB2" w:rsidRDefault="00B31EB2" w:rsidP="00B31EB2"/>
    <w:p w:rsidR="00B31EB2" w:rsidRDefault="00B31EB2" w:rsidP="00B31EB2"/>
    <w:p w:rsidR="00B31EB2" w:rsidRDefault="00B31EB2" w:rsidP="00B31EB2">
      <w:pPr>
        <w:jc w:val="center"/>
      </w:pPr>
      <w:r>
        <w:t>R-2 Residential Zone</w:t>
      </w:r>
    </w:p>
    <w:p w:rsidR="00B31EB2" w:rsidRPr="004B7E2C" w:rsidRDefault="00B31EB2" w:rsidP="00B31EB2">
      <w:pPr>
        <w:jc w:val="center"/>
      </w:pPr>
      <w:r>
        <w:rPr>
          <w:b/>
        </w:rPr>
        <w:t>Disability Variance</w:t>
      </w:r>
      <w:r w:rsidRPr="00F67F40">
        <w:rPr>
          <w:b/>
        </w:rPr>
        <w:t xml:space="preserve"> Appeal</w:t>
      </w:r>
    </w:p>
    <w:p w:rsidR="00B31EB2" w:rsidRDefault="00B31EB2" w:rsidP="00B31EB2">
      <w:pPr>
        <w:jc w:val="center"/>
      </w:pPr>
    </w:p>
    <w:p w:rsidR="00B31EB2" w:rsidRDefault="00B31EB2" w:rsidP="00B31EB2">
      <w:pPr>
        <w:jc w:val="center"/>
        <w:rPr>
          <w:b/>
          <w:u w:val="single"/>
        </w:rPr>
      </w:pPr>
      <w:r w:rsidRPr="00F67F40">
        <w:rPr>
          <w:b/>
          <w:u w:val="single"/>
        </w:rPr>
        <w:t>DECISION</w:t>
      </w:r>
    </w:p>
    <w:p w:rsidR="00B31EB2" w:rsidRPr="00B52965" w:rsidRDefault="00B31EB2" w:rsidP="00B31EB2">
      <w:pPr>
        <w:jc w:val="center"/>
        <w:rPr>
          <w:b/>
          <w:u w:val="single"/>
        </w:rPr>
      </w:pPr>
    </w:p>
    <w:p w:rsidR="00B31EB2" w:rsidRDefault="00B31EB2" w:rsidP="00B31EB2">
      <w:pPr>
        <w:tabs>
          <w:tab w:val="left" w:pos="4320"/>
        </w:tabs>
      </w:pPr>
      <w:r>
        <w:t>Date of public hearing:</w:t>
      </w:r>
      <w:r>
        <w:tab/>
      </w:r>
      <w:r w:rsidR="00517BD9">
        <w:t>November 17, 2016</w:t>
      </w:r>
      <w:r>
        <w:tab/>
      </w:r>
    </w:p>
    <w:p w:rsidR="00B31EB2" w:rsidRDefault="00B31EB2" w:rsidP="00B31EB2"/>
    <w:p w:rsidR="00B31EB2" w:rsidRDefault="00B31EB2" w:rsidP="00B31EB2"/>
    <w:p w:rsidR="00B31EB2" w:rsidRDefault="00B31EB2" w:rsidP="00B31EB2">
      <w:pPr>
        <w:ind w:left="4320" w:hanging="4320"/>
      </w:pPr>
      <w:r>
        <w:t>Name and address of Appellant:</w:t>
      </w:r>
      <w:r>
        <w:tab/>
      </w:r>
      <w:r w:rsidR="00517BD9">
        <w:t>William Fogel</w:t>
      </w:r>
      <w:r>
        <w:br/>
      </w:r>
      <w:r w:rsidR="00517BD9">
        <w:t>67 Kingsmark Lane</w:t>
      </w:r>
      <w:r>
        <w:br/>
      </w:r>
      <w:r w:rsidR="00517BD9">
        <w:t>Portland, Maine 04102</w:t>
      </w:r>
    </w:p>
    <w:p w:rsidR="00B31EB2" w:rsidRDefault="00B31EB2" w:rsidP="00B31EB2"/>
    <w:p w:rsidR="00B31EB2" w:rsidRDefault="00B31EB2" w:rsidP="00B31EB2"/>
    <w:p w:rsidR="00B31EB2" w:rsidRDefault="00B31EB2" w:rsidP="00B31EB2">
      <w:pPr>
        <w:ind w:left="3600" w:hanging="3600"/>
      </w:pPr>
      <w:r>
        <w:t>Location of property under appeal:</w:t>
      </w:r>
      <w:r>
        <w:tab/>
      </w:r>
      <w:r>
        <w:tab/>
      </w:r>
      <w:r w:rsidR="00517BD9">
        <w:t>67 Kingsmark Lane</w:t>
      </w:r>
    </w:p>
    <w:p w:rsidR="00B31EB2" w:rsidRDefault="00E92EA1" w:rsidP="00B31EB2">
      <w:pPr>
        <w:ind w:left="3600" w:hanging="3600"/>
      </w:pPr>
      <w:r>
        <w:tab/>
      </w:r>
      <w:r>
        <w:tab/>
        <w:t xml:space="preserve">CBL </w:t>
      </w:r>
      <w:r w:rsidR="00517BD9">
        <w:t>226  A013001</w:t>
      </w:r>
    </w:p>
    <w:p w:rsidR="00B31EB2" w:rsidRDefault="00B31EB2" w:rsidP="00B31EB2"/>
    <w:p w:rsidR="00B31EB2" w:rsidRDefault="00B31EB2" w:rsidP="00B31EB2"/>
    <w:p w:rsidR="00B31EB2" w:rsidRDefault="00B31EB2" w:rsidP="00B31EB2">
      <w:r w:rsidRPr="00F67F40">
        <w:rPr>
          <w:u w:val="single"/>
        </w:rPr>
        <w:t>For the Record</w:t>
      </w:r>
      <w:r>
        <w:t>:</w:t>
      </w:r>
    </w:p>
    <w:p w:rsidR="00B31EB2" w:rsidRDefault="00B31EB2" w:rsidP="00B31EB2"/>
    <w:p w:rsidR="00B31EB2" w:rsidRDefault="00B31EB2" w:rsidP="00B31EB2">
      <w:r>
        <w:t>Names and addresses of witnesses (proponents, opponents and others):</w:t>
      </w:r>
    </w:p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>
      <w:r>
        <w:t>Exhibits admitted (e.g. renderings, reports, etc.):</w:t>
      </w:r>
    </w:p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/>
    <w:p w:rsidR="00B31EB2" w:rsidRDefault="00B31EB2" w:rsidP="00B31EB2">
      <w:pPr>
        <w:rPr>
          <w:u w:val="single"/>
        </w:rPr>
      </w:pPr>
    </w:p>
    <w:p w:rsidR="00B31EB2" w:rsidRDefault="00B31EB2" w:rsidP="00B31EB2">
      <w:pPr>
        <w:rPr>
          <w:u w:val="single"/>
        </w:rPr>
      </w:pPr>
    </w:p>
    <w:p w:rsidR="00B31EB2" w:rsidRDefault="00B31EB2" w:rsidP="00B31EB2">
      <w:pPr>
        <w:rPr>
          <w:u w:val="single"/>
        </w:rPr>
      </w:pPr>
    </w:p>
    <w:p w:rsidR="00B31EB2" w:rsidRDefault="00B31EB2" w:rsidP="00B31EB2">
      <w:pPr>
        <w:rPr>
          <w:u w:val="single"/>
        </w:rPr>
      </w:pPr>
    </w:p>
    <w:p w:rsidR="00B31EB2" w:rsidRDefault="00B31EB2" w:rsidP="00B31EB2">
      <w:r w:rsidRPr="00A9326A">
        <w:rPr>
          <w:u w:val="single"/>
        </w:rPr>
        <w:lastRenderedPageBreak/>
        <w:t>Findings of Fact and Conclusions of Law</w:t>
      </w:r>
      <w:r>
        <w:t>:</w:t>
      </w:r>
    </w:p>
    <w:p w:rsidR="00B31EB2" w:rsidRDefault="00B31EB2" w:rsidP="00B31EB2"/>
    <w:p w:rsidR="00B31EB2" w:rsidRDefault="00B31EB2" w:rsidP="00B31EB2">
      <w:pPr>
        <w:jc w:val="both"/>
      </w:pPr>
      <w:r>
        <w:t>The applicant is seeking a disability variance from the requirements of City of Portland Code of Ordinances Sec. 14-</w:t>
      </w:r>
      <w:r w:rsidR="00BC7D8D">
        <w:t>80(d</w:t>
      </w:r>
      <w:r>
        <w:t>)</w:t>
      </w:r>
      <w:r w:rsidR="00BC7D8D">
        <w:t>(1)</w:t>
      </w:r>
      <w:r>
        <w:t>, which require that a</w:t>
      </w:r>
      <w:r w:rsidR="00E92EA1">
        <w:t xml:space="preserve">ccessory structures have </w:t>
      </w:r>
      <w:r w:rsidR="00BC7D8D">
        <w:t>a front yard of 25 feet</w:t>
      </w:r>
      <w:r>
        <w:t>.</w:t>
      </w:r>
      <w:r w:rsidR="00BC7D8D">
        <w:t xml:space="preserve">  The applicant asks to reduce the front yard to six feet in order to construct a walkway and railing system to the front entrance of the dwelling.</w:t>
      </w:r>
    </w:p>
    <w:p w:rsidR="00B31EB2" w:rsidRDefault="00B31EB2" w:rsidP="00B31EB2">
      <w:pPr>
        <w:jc w:val="both"/>
      </w:pPr>
    </w:p>
    <w:p w:rsidR="00B31EB2" w:rsidRDefault="00B31EB2" w:rsidP="00B31EB2">
      <w:pPr>
        <w:jc w:val="both"/>
      </w:pPr>
      <w:r>
        <w:t>The Board of Appeals has jurisdiction to hear and grant or deny applications for disability variances pursuant to Sec. 14-471.</w:t>
      </w:r>
    </w:p>
    <w:p w:rsidR="00B31EB2" w:rsidRDefault="00B31EB2" w:rsidP="00B31EB2">
      <w:pPr>
        <w:jc w:val="both"/>
      </w:pPr>
    </w:p>
    <w:p w:rsidR="00B31EB2" w:rsidRDefault="00B31EB2" w:rsidP="00B31EB2">
      <w:pPr>
        <w:rPr>
          <w:u w:val="single"/>
        </w:rPr>
      </w:pPr>
      <w:r>
        <w:rPr>
          <w:u w:val="single"/>
        </w:rPr>
        <w:t>Findings:</w:t>
      </w:r>
    </w:p>
    <w:p w:rsidR="00B31EB2" w:rsidRPr="00BA30C3" w:rsidRDefault="00B31EB2" w:rsidP="00B31EB2">
      <w:pPr>
        <w:rPr>
          <w:u w:val="single"/>
        </w:rPr>
      </w:pPr>
    </w:p>
    <w:p w:rsidR="00B31EB2" w:rsidRPr="00FF34F6" w:rsidRDefault="00B31EB2" w:rsidP="00B31EB2">
      <w:pPr>
        <w:autoSpaceDE w:val="0"/>
        <w:autoSpaceDN w:val="0"/>
        <w:adjustRightInd w:val="0"/>
        <w:jc w:val="both"/>
      </w:pPr>
      <w:r>
        <w:t>Sec. 14-473(c)(2) provides that</w:t>
      </w:r>
      <w:r w:rsidR="00F917A8">
        <w:t>,</w:t>
      </w:r>
      <w:r>
        <w:t xml:space="preserve"> </w:t>
      </w:r>
      <w:r w:rsidR="00F917A8">
        <w:t>a disability variance is available 1) “for the purpose of making that dwelling accessible to a person with a disability;” 2) “who resides in or regularly uses the dwelling;” and 3) the variance is for the “installation of equipment or the construction of structures necessary for access to or egress from the dwelling.”</w:t>
      </w:r>
      <w:r w:rsidR="004F2A38">
        <w:t xml:space="preserve">  A disability is defined pursuant to 5 M.R.S. § 4553-A</w:t>
      </w:r>
      <w:r w:rsidR="00FF34F6">
        <w:t xml:space="preserve">.  </w:t>
      </w:r>
      <w:r w:rsidR="00FF34F6">
        <w:rPr>
          <w:i/>
        </w:rPr>
        <w:t>Id.</w:t>
      </w:r>
      <w:r w:rsidR="00FF34F6">
        <w:t>; 5 M.R.S. § 4553(7-A).</w:t>
      </w:r>
    </w:p>
    <w:p w:rsidR="00B31EB2" w:rsidRDefault="00B31EB2" w:rsidP="00B31EB2">
      <w:pPr>
        <w:autoSpaceDE w:val="0"/>
        <w:autoSpaceDN w:val="0"/>
        <w:adjustRightInd w:val="0"/>
        <w:jc w:val="both"/>
      </w:pPr>
    </w:p>
    <w:p w:rsidR="00B31EB2" w:rsidRDefault="00B31EB2" w:rsidP="00B31EB2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The </w:t>
      </w:r>
      <w:r w:rsidR="00F917A8">
        <w:t>variance requested is for the purpose of making the dwelling accessible to a person with a disability</w:t>
      </w:r>
      <w:r>
        <w:t>;</w:t>
      </w:r>
    </w:p>
    <w:p w:rsidR="00B31EB2" w:rsidRPr="00073CF4" w:rsidRDefault="00B31EB2" w:rsidP="00B31EB2">
      <w:pPr>
        <w:autoSpaceDE w:val="0"/>
        <w:autoSpaceDN w:val="0"/>
        <w:adjustRightInd w:val="0"/>
      </w:pPr>
    </w:p>
    <w:p w:rsidR="00B31EB2" w:rsidRDefault="00B31EB2" w:rsidP="00B31EB2">
      <w:pPr>
        <w:autoSpaceDE w:val="0"/>
        <w:autoSpaceDN w:val="0"/>
        <w:adjustRightInd w:val="0"/>
        <w:ind w:left="1080"/>
      </w:pPr>
      <w:r w:rsidRPr="00073CF4">
        <w:t>Satisfied ____</w:t>
      </w:r>
      <w:r w:rsidRPr="00073CF4">
        <w:tab/>
      </w:r>
      <w:r w:rsidRPr="00073CF4">
        <w:tab/>
        <w:t>Not Satisfied ____</w:t>
      </w: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numPr>
          <w:ilvl w:val="0"/>
          <w:numId w:val="1"/>
        </w:numPr>
        <w:autoSpaceDE w:val="0"/>
        <w:autoSpaceDN w:val="0"/>
        <w:adjustRightInd w:val="0"/>
      </w:pPr>
      <w:r>
        <w:t>The disabled person resides in or regularly uses the dwelling;</w:t>
      </w:r>
    </w:p>
    <w:p w:rsidR="00F917A8" w:rsidRPr="00073CF4" w:rsidRDefault="00F917A8" w:rsidP="00F917A8">
      <w:pPr>
        <w:autoSpaceDE w:val="0"/>
        <w:autoSpaceDN w:val="0"/>
        <w:adjustRightInd w:val="0"/>
      </w:pPr>
    </w:p>
    <w:p w:rsidR="00F917A8" w:rsidRPr="00073CF4" w:rsidRDefault="00F917A8" w:rsidP="00F917A8">
      <w:pPr>
        <w:autoSpaceDE w:val="0"/>
        <w:autoSpaceDN w:val="0"/>
        <w:adjustRightInd w:val="0"/>
        <w:ind w:left="1080"/>
      </w:pPr>
      <w:r w:rsidRPr="00073CF4">
        <w:t>Satisfied ____</w:t>
      </w:r>
      <w:r w:rsidRPr="00073CF4">
        <w:tab/>
      </w:r>
      <w:r w:rsidRPr="00073CF4">
        <w:tab/>
        <w:t>Not Satisfied ____</w:t>
      </w: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B31EB2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numPr>
          <w:ilvl w:val="0"/>
          <w:numId w:val="1"/>
        </w:numPr>
        <w:autoSpaceDE w:val="0"/>
        <w:autoSpaceDN w:val="0"/>
        <w:adjustRightInd w:val="0"/>
      </w:pPr>
      <w:r>
        <w:t>The variance is for the “installation of equipment or the construction of structures necessary for access to or egress from the dwelling;</w:t>
      </w:r>
      <w:r w:rsidR="00BC7D8D">
        <w:t>”</w:t>
      </w:r>
    </w:p>
    <w:p w:rsidR="00F917A8" w:rsidRPr="00073CF4" w:rsidRDefault="00F917A8" w:rsidP="00F917A8">
      <w:pPr>
        <w:autoSpaceDE w:val="0"/>
        <w:autoSpaceDN w:val="0"/>
        <w:adjustRightInd w:val="0"/>
      </w:pPr>
    </w:p>
    <w:p w:rsidR="00F917A8" w:rsidRDefault="00F917A8" w:rsidP="00F917A8">
      <w:pPr>
        <w:autoSpaceDE w:val="0"/>
        <w:autoSpaceDN w:val="0"/>
        <w:adjustRightInd w:val="0"/>
        <w:ind w:left="1080"/>
      </w:pPr>
      <w:r w:rsidRPr="00073CF4">
        <w:t>Satisfied ____</w:t>
      </w:r>
      <w:r w:rsidRPr="00073CF4">
        <w:tab/>
      </w:r>
      <w:r w:rsidRPr="00073CF4">
        <w:tab/>
        <w:t>Not Satisfied ____</w:t>
      </w: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A17785" w:rsidRDefault="00A17785" w:rsidP="00A17785">
      <w:pPr>
        <w:autoSpaceDE w:val="0"/>
        <w:autoSpaceDN w:val="0"/>
        <w:adjustRightInd w:val="0"/>
      </w:pPr>
    </w:p>
    <w:p w:rsidR="00A17785" w:rsidRDefault="00A17785" w:rsidP="00A17785">
      <w:pPr>
        <w:autoSpaceDE w:val="0"/>
        <w:autoSpaceDN w:val="0"/>
        <w:adjustRightInd w:val="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  <w:ind w:left="1080"/>
      </w:pPr>
    </w:p>
    <w:p w:rsidR="00F917A8" w:rsidRDefault="00F917A8" w:rsidP="00F917A8">
      <w:pPr>
        <w:autoSpaceDE w:val="0"/>
        <w:autoSpaceDN w:val="0"/>
        <w:adjustRightInd w:val="0"/>
      </w:pPr>
      <w:r>
        <w:rPr>
          <w:b/>
          <w:u w:val="single"/>
        </w:rPr>
        <w:t>Decision</w:t>
      </w:r>
      <w:r w:rsidR="00A17785">
        <w:t>:</w:t>
      </w:r>
    </w:p>
    <w:p w:rsidR="00F917A8" w:rsidRDefault="00F917A8" w:rsidP="00F917A8">
      <w:pPr>
        <w:autoSpaceDE w:val="0"/>
        <w:autoSpaceDN w:val="0"/>
        <w:adjustRightInd w:val="0"/>
      </w:pPr>
    </w:p>
    <w:p w:rsidR="00F917A8" w:rsidRDefault="00F917A8" w:rsidP="00F917A8">
      <w:pPr>
        <w:autoSpaceDE w:val="0"/>
        <w:autoSpaceDN w:val="0"/>
        <w:adjustRightInd w:val="0"/>
        <w:ind w:firstLine="720"/>
        <w:jc w:val="both"/>
      </w:pPr>
      <w:r>
        <w:t xml:space="preserve">___ Option 1:  The Board finds that the applicant has satisfactorily </w:t>
      </w:r>
      <w:r w:rsidR="00A17785">
        <w:t>met the standards for a disability variance</w:t>
      </w:r>
      <w:r>
        <w:t xml:space="preserve"> and GRANTS the variance without limitation.</w:t>
      </w:r>
    </w:p>
    <w:p w:rsidR="00F917A8" w:rsidRDefault="00F917A8" w:rsidP="00F917A8">
      <w:pPr>
        <w:autoSpaceDE w:val="0"/>
        <w:autoSpaceDN w:val="0"/>
        <w:adjustRightInd w:val="0"/>
        <w:ind w:firstLine="720"/>
      </w:pPr>
    </w:p>
    <w:p w:rsidR="00F917A8" w:rsidRDefault="00F917A8" w:rsidP="00F917A8">
      <w:pPr>
        <w:autoSpaceDE w:val="0"/>
        <w:autoSpaceDN w:val="0"/>
        <w:adjustRightInd w:val="0"/>
        <w:ind w:firstLine="720"/>
      </w:pPr>
    </w:p>
    <w:p w:rsidR="00F917A8" w:rsidRDefault="00FF3993" w:rsidP="00A17785">
      <w:pPr>
        <w:autoSpaceDE w:val="0"/>
        <w:autoSpaceDN w:val="0"/>
        <w:adjustRightInd w:val="0"/>
        <w:jc w:val="both"/>
      </w:pPr>
      <w:r>
        <w:tab/>
      </w:r>
      <w:r w:rsidR="00F917A8">
        <w:t xml:space="preserve">___ Option 2:  </w:t>
      </w:r>
      <w:r w:rsidR="00A17785">
        <w:t xml:space="preserve">Pursuant to Sec. 14-473(c)(2), the Board may impose conditions on a disability variance, including limiting the variance to the duration of the disability or to the time that the person with the disability lives in the dwelling.  </w:t>
      </w:r>
      <w:r w:rsidR="00F917A8">
        <w:t xml:space="preserve">The Board finds that the applicant has </w:t>
      </w:r>
      <w:r w:rsidR="00A17785">
        <w:t xml:space="preserve">satisfactorily met the standards for a disability variance and GRANTS the variance </w:t>
      </w:r>
      <w:r w:rsidR="00F917A8">
        <w:t xml:space="preserve">with the following </w:t>
      </w:r>
      <w:r w:rsidR="00A17785">
        <w:t>conditions</w:t>
      </w:r>
      <w:r w:rsidR="00F917A8">
        <w:t>:</w:t>
      </w:r>
    </w:p>
    <w:p w:rsidR="00F917A8" w:rsidRDefault="00F917A8" w:rsidP="00F917A8">
      <w:pPr>
        <w:autoSpaceDE w:val="0"/>
        <w:autoSpaceDN w:val="0"/>
        <w:adjustRightInd w:val="0"/>
        <w:ind w:firstLine="720"/>
      </w:pPr>
    </w:p>
    <w:p w:rsidR="00F917A8" w:rsidRDefault="00F917A8" w:rsidP="00F917A8">
      <w:pPr>
        <w:autoSpaceDE w:val="0"/>
        <w:autoSpaceDN w:val="0"/>
        <w:adjustRightInd w:val="0"/>
        <w:ind w:firstLine="720"/>
      </w:pPr>
    </w:p>
    <w:p w:rsidR="00BC7D8D" w:rsidRDefault="00BC7D8D" w:rsidP="00F917A8">
      <w:pPr>
        <w:autoSpaceDE w:val="0"/>
        <w:autoSpaceDN w:val="0"/>
        <w:adjustRightInd w:val="0"/>
        <w:ind w:firstLine="720"/>
      </w:pPr>
    </w:p>
    <w:p w:rsidR="00F917A8" w:rsidRDefault="00F917A8" w:rsidP="00F917A8">
      <w:pPr>
        <w:autoSpaceDE w:val="0"/>
        <w:autoSpaceDN w:val="0"/>
        <w:adjustRightInd w:val="0"/>
        <w:ind w:firstLine="720"/>
      </w:pPr>
    </w:p>
    <w:p w:rsidR="00F917A8" w:rsidRDefault="00F917A8" w:rsidP="00F917A8">
      <w:pPr>
        <w:autoSpaceDE w:val="0"/>
        <w:autoSpaceDN w:val="0"/>
        <w:adjustRightInd w:val="0"/>
        <w:ind w:firstLine="720"/>
      </w:pPr>
    </w:p>
    <w:p w:rsidR="00F917A8" w:rsidRDefault="00F917A8" w:rsidP="00F917A8">
      <w:pPr>
        <w:autoSpaceDE w:val="0"/>
        <w:autoSpaceDN w:val="0"/>
        <w:adjustRightInd w:val="0"/>
        <w:ind w:firstLine="720"/>
        <w:jc w:val="both"/>
      </w:pPr>
      <w:r>
        <w:t xml:space="preserve">____ Option 3:  The Board finds that the applicant has NOT satisfactorily </w:t>
      </w:r>
      <w:r w:rsidR="00A17785">
        <w:t>met the standards for a disability variance and</w:t>
      </w:r>
      <w:r>
        <w:t xml:space="preserve"> DENIES the variance.</w:t>
      </w:r>
    </w:p>
    <w:p w:rsidR="00F917A8" w:rsidRDefault="00F917A8" w:rsidP="00F917A8">
      <w:pPr>
        <w:autoSpaceDE w:val="0"/>
        <w:autoSpaceDN w:val="0"/>
        <w:adjustRightInd w:val="0"/>
      </w:pPr>
    </w:p>
    <w:p w:rsidR="00F917A8" w:rsidRDefault="00F917A8" w:rsidP="00F917A8"/>
    <w:p w:rsidR="00F917A8" w:rsidRDefault="00F917A8" w:rsidP="00F917A8">
      <w:r>
        <w:t>Dated: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F917A8" w:rsidRDefault="00A17785" w:rsidP="00F917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17A8">
        <w:t>Board Chair</w:t>
      </w:r>
    </w:p>
    <w:p w:rsidR="00F917A8" w:rsidRPr="00073CF4" w:rsidRDefault="00F917A8" w:rsidP="00F917A8">
      <w:pPr>
        <w:autoSpaceDE w:val="0"/>
        <w:autoSpaceDN w:val="0"/>
        <w:adjustRightInd w:val="0"/>
        <w:ind w:left="1080"/>
      </w:pPr>
    </w:p>
    <w:p w:rsidR="00F917A8" w:rsidRPr="00073CF4" w:rsidRDefault="00F917A8" w:rsidP="00B31EB2">
      <w:pPr>
        <w:autoSpaceDE w:val="0"/>
        <w:autoSpaceDN w:val="0"/>
        <w:adjustRightInd w:val="0"/>
        <w:ind w:left="1080"/>
      </w:pPr>
    </w:p>
    <w:p w:rsidR="00B31EB2" w:rsidRDefault="00B31EB2" w:rsidP="00B31EB2">
      <w:pPr>
        <w:jc w:val="both"/>
      </w:pPr>
    </w:p>
    <w:p w:rsidR="00B05A98" w:rsidRDefault="00B05A98"/>
    <w:sectPr w:rsidR="00B0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A8" w:rsidRDefault="00F918A8" w:rsidP="00D74320">
      <w:r>
        <w:separator/>
      </w:r>
    </w:p>
  </w:endnote>
  <w:endnote w:type="continuationSeparator" w:id="0">
    <w:p w:rsidR="00F918A8" w:rsidRDefault="00F918A8" w:rsidP="00D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Gothic BT">
    <w:altName w:val="Palatino Linotyp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A8" w:rsidRDefault="00F918A8" w:rsidP="00D74320">
      <w:r>
        <w:separator/>
      </w:r>
    </w:p>
  </w:footnote>
  <w:footnote w:type="continuationSeparator" w:id="0">
    <w:p w:rsidR="00F918A8" w:rsidRDefault="00F918A8" w:rsidP="00D7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529"/>
    <w:multiLevelType w:val="hybridMultilevel"/>
    <w:tmpl w:val="1E1699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2"/>
    <w:rsid w:val="001040E3"/>
    <w:rsid w:val="00321BE6"/>
    <w:rsid w:val="004F2A38"/>
    <w:rsid w:val="00517BD9"/>
    <w:rsid w:val="00747469"/>
    <w:rsid w:val="007F3A77"/>
    <w:rsid w:val="00A17785"/>
    <w:rsid w:val="00A9361D"/>
    <w:rsid w:val="00B05A98"/>
    <w:rsid w:val="00B31EB2"/>
    <w:rsid w:val="00BC7D8D"/>
    <w:rsid w:val="00D40C3C"/>
    <w:rsid w:val="00D74320"/>
    <w:rsid w:val="00E92EA1"/>
    <w:rsid w:val="00F917A8"/>
    <w:rsid w:val="00F918A8"/>
    <w:rsid w:val="00FF34F6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E6FB1-988F-46A6-9466-209BD863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EB2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B31EB2"/>
    <w:pPr>
      <w:keepNext/>
      <w:widowControl w:val="0"/>
      <w:outlineLvl w:val="0"/>
    </w:pPr>
    <w:rPr>
      <w:rFonts w:ascii="EngraversGothic BT" w:hAnsi="EngraversGothic BT"/>
      <w:b/>
      <w:snapToGrid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EB2"/>
    <w:rPr>
      <w:rFonts w:ascii="EngraversGothic BT" w:eastAsia="Times New Roman" w:hAnsi="EngraversGothic BT"/>
      <w:b/>
      <w:snapToGrid w:val="0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77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43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320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43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Torregrossa</dc:creator>
  <cp:keywords/>
  <dc:description/>
  <cp:lastModifiedBy>cstacey</cp:lastModifiedBy>
  <cp:revision>2</cp:revision>
  <cp:lastPrinted>2016-10-04T17:41:00Z</cp:lastPrinted>
  <dcterms:created xsi:type="dcterms:W3CDTF">2016-11-16T18:58:00Z</dcterms:created>
  <dcterms:modified xsi:type="dcterms:W3CDTF">2016-11-16T18:58:00Z</dcterms:modified>
</cp:coreProperties>
</file>