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40" w:rsidRPr="002203BB" w:rsidRDefault="00F46440">
      <w:pPr>
        <w:pStyle w:val="CMT"/>
        <w:rPr>
          <w:color w:val="auto"/>
          <w:sz w:val="20"/>
        </w:rPr>
      </w:pPr>
      <w:bookmarkStart w:id="0" w:name="_GoBack"/>
      <w:bookmarkEnd w:id="0"/>
      <w:r w:rsidRPr="002203BB">
        <w:rPr>
          <w:color w:val="auto"/>
          <w:sz w:val="20"/>
        </w:rPr>
        <w:t>Copyright 2003 and 2005 by The American Institute of Architects (AIA)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Exclusively published and distributed by Architectural Computer Services, Inc. (ARCOM) for the AIA</w:t>
      </w:r>
    </w:p>
    <w:p w:rsidR="00F46440" w:rsidRPr="002203BB" w:rsidRDefault="00F46440">
      <w:pPr>
        <w:pStyle w:val="SCT"/>
        <w:rPr>
          <w:sz w:val="20"/>
        </w:rPr>
      </w:pPr>
      <w:r w:rsidRPr="002203BB">
        <w:rPr>
          <w:sz w:val="20"/>
        </w:rPr>
        <w:t xml:space="preserve">SECTION </w:t>
      </w:r>
      <w:r w:rsidRPr="002203BB">
        <w:rPr>
          <w:rStyle w:val="NUM"/>
          <w:sz w:val="20"/>
        </w:rPr>
        <w:t>061000</w:t>
      </w:r>
      <w:r w:rsidRPr="002203BB">
        <w:rPr>
          <w:sz w:val="20"/>
        </w:rPr>
        <w:t xml:space="preserve"> - </w:t>
      </w:r>
      <w:r w:rsidRPr="002203BB">
        <w:rPr>
          <w:rStyle w:val="NAM"/>
          <w:sz w:val="20"/>
        </w:rPr>
        <w:t>ROUGH CARPENTRY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This Section uses the term "Architect."  Change this term to match that used to identify the design professional as defined in the General and Supplementary Conditions.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Verify that Section titles referenced in this Section are correct for this Project's Specifications; Section titles may have changed.</w:t>
      </w:r>
    </w:p>
    <w:p w:rsidR="00F46440" w:rsidRPr="002203BB" w:rsidRDefault="00F46440">
      <w:pPr>
        <w:pStyle w:val="PRT"/>
        <w:rPr>
          <w:sz w:val="20"/>
        </w:rPr>
      </w:pPr>
      <w:r w:rsidRPr="002203BB">
        <w:rPr>
          <w:sz w:val="20"/>
        </w:rPr>
        <w:t>GENERAL</w:t>
      </w:r>
    </w:p>
    <w:p w:rsidR="00F46440" w:rsidRPr="002203BB" w:rsidRDefault="00F46440">
      <w:pPr>
        <w:pStyle w:val="ART"/>
        <w:rPr>
          <w:sz w:val="20"/>
        </w:rPr>
      </w:pPr>
      <w:r w:rsidRPr="002203BB">
        <w:rPr>
          <w:sz w:val="20"/>
        </w:rPr>
        <w:t>RELATED DOCUMENTS</w:t>
      </w:r>
    </w:p>
    <w:p w:rsidR="00F46440" w:rsidRPr="002203BB" w:rsidRDefault="00F46440">
      <w:pPr>
        <w:pStyle w:val="PR1"/>
        <w:rPr>
          <w:sz w:val="20"/>
        </w:rPr>
      </w:pPr>
      <w:r w:rsidRPr="002203BB">
        <w:rPr>
          <w:sz w:val="20"/>
        </w:rPr>
        <w:t>Drawings and general provisions of the Contract, including General and Supplementary Conditions and Division 01 Specification Sections, apply to this Section.</w:t>
      </w:r>
    </w:p>
    <w:p w:rsidR="00F46440" w:rsidRPr="002203BB" w:rsidRDefault="00F46440">
      <w:pPr>
        <w:pStyle w:val="ART"/>
        <w:rPr>
          <w:sz w:val="20"/>
        </w:rPr>
      </w:pPr>
      <w:r w:rsidRPr="002203BB">
        <w:rPr>
          <w:sz w:val="20"/>
        </w:rPr>
        <w:t>SUMMARY</w:t>
      </w:r>
    </w:p>
    <w:p w:rsidR="00F46440" w:rsidRPr="002203BB" w:rsidRDefault="00F46440">
      <w:pPr>
        <w:pStyle w:val="PR1"/>
        <w:rPr>
          <w:sz w:val="20"/>
        </w:rPr>
      </w:pPr>
      <w:r w:rsidRPr="002203BB">
        <w:rPr>
          <w:sz w:val="20"/>
        </w:rPr>
        <w:t>This Section includes the following: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Adjust list below to suit Project.</w:t>
      </w:r>
    </w:p>
    <w:p w:rsidR="00F46440" w:rsidRPr="002203BB" w:rsidRDefault="00F46440" w:rsidP="00111241">
      <w:pPr>
        <w:pStyle w:val="PR2"/>
        <w:spacing w:before="240"/>
        <w:rPr>
          <w:sz w:val="20"/>
        </w:rPr>
      </w:pPr>
      <w:r w:rsidRPr="002203BB">
        <w:rPr>
          <w:sz w:val="20"/>
        </w:rPr>
        <w:t>Wood blocking</w:t>
      </w:r>
      <w:r w:rsidR="00495659" w:rsidRPr="002203BB">
        <w:rPr>
          <w:sz w:val="20"/>
        </w:rPr>
        <w:t xml:space="preserve"> </w:t>
      </w:r>
      <w:r w:rsidRPr="002203BB">
        <w:rPr>
          <w:sz w:val="20"/>
        </w:rPr>
        <w:t>and nailers.</w:t>
      </w:r>
    </w:p>
    <w:p w:rsidR="002B0C77" w:rsidRPr="002203BB" w:rsidRDefault="002B0C77" w:rsidP="002B0C77">
      <w:pPr>
        <w:pStyle w:val="PR2"/>
        <w:rPr>
          <w:sz w:val="20"/>
        </w:rPr>
      </w:pPr>
      <w:r w:rsidRPr="002203BB">
        <w:rPr>
          <w:sz w:val="20"/>
        </w:rPr>
        <w:t>Plywood backing panels.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List below only products and construction that the reader might expect to find in this Section but are specified elsewhere.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Borate treatment in Section referenced in subparagraph below may be an acceptable substitute for borate-treated wood specified in this Section.  Delete if borate treatment is specified in this Section.</w:t>
      </w:r>
    </w:p>
    <w:p w:rsidR="00F46440" w:rsidRPr="002203BB" w:rsidRDefault="00F46440">
      <w:pPr>
        <w:pStyle w:val="ART"/>
        <w:rPr>
          <w:sz w:val="20"/>
        </w:rPr>
      </w:pPr>
      <w:r w:rsidRPr="002203BB">
        <w:rPr>
          <w:sz w:val="20"/>
        </w:rPr>
        <w:t>DEFINITIONS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Delete first paragraph below if no exposed framing.</w:t>
      </w:r>
    </w:p>
    <w:p w:rsidR="00F46440" w:rsidRPr="002203BB" w:rsidRDefault="00F46440">
      <w:pPr>
        <w:pStyle w:val="PR1"/>
        <w:rPr>
          <w:sz w:val="20"/>
        </w:rPr>
      </w:pPr>
      <w:r w:rsidRPr="002203BB">
        <w:rPr>
          <w:sz w:val="20"/>
        </w:rPr>
        <w:t xml:space="preserve">Dimension Lumber:  Lumber of </w:t>
      </w:r>
      <w:r w:rsidRPr="002203BB">
        <w:rPr>
          <w:rStyle w:val="IP"/>
          <w:color w:val="auto"/>
          <w:sz w:val="20"/>
        </w:rPr>
        <w:t>2 inches nominal</w:t>
      </w:r>
      <w:r w:rsidRPr="002203BB">
        <w:rPr>
          <w:rStyle w:val="SI"/>
          <w:color w:val="auto"/>
          <w:sz w:val="20"/>
        </w:rPr>
        <w:t xml:space="preserve"> (38 mm actual)</w:t>
      </w:r>
      <w:r w:rsidRPr="002203BB">
        <w:rPr>
          <w:sz w:val="20"/>
        </w:rPr>
        <w:t xml:space="preserve"> or greater but less than </w:t>
      </w:r>
      <w:r w:rsidRPr="002203BB">
        <w:rPr>
          <w:rStyle w:val="IP"/>
          <w:color w:val="auto"/>
          <w:sz w:val="20"/>
        </w:rPr>
        <w:t>5 inches nominal</w:t>
      </w:r>
      <w:r w:rsidRPr="002203BB">
        <w:rPr>
          <w:rStyle w:val="SI"/>
          <w:color w:val="auto"/>
          <w:sz w:val="20"/>
        </w:rPr>
        <w:t xml:space="preserve"> (114 mm actual)</w:t>
      </w:r>
      <w:r w:rsidRPr="002203BB">
        <w:rPr>
          <w:sz w:val="20"/>
        </w:rPr>
        <w:t xml:space="preserve"> in least dimension.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Delete first paragraph below if no timber.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Delete paragraph and list below if lumber grading agencies are not referenced with products.</w:t>
      </w:r>
    </w:p>
    <w:p w:rsidR="00F46440" w:rsidRPr="002203BB" w:rsidRDefault="00F46440">
      <w:pPr>
        <w:pStyle w:val="PR1"/>
        <w:rPr>
          <w:sz w:val="20"/>
        </w:rPr>
      </w:pPr>
      <w:r w:rsidRPr="002203BB">
        <w:rPr>
          <w:sz w:val="20"/>
        </w:rPr>
        <w:t>Lumber grading agencies, and the abbreviations used to reference them, include the following: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Coordinate list below with product lists; delete those not required.  See Evaluations.</w:t>
      </w:r>
    </w:p>
    <w:p w:rsidR="00F46440" w:rsidRPr="002203BB" w:rsidRDefault="00F46440">
      <w:pPr>
        <w:pStyle w:val="PR2"/>
        <w:spacing w:before="240"/>
        <w:rPr>
          <w:sz w:val="20"/>
        </w:rPr>
      </w:pPr>
      <w:r w:rsidRPr="002203BB">
        <w:rPr>
          <w:sz w:val="20"/>
        </w:rPr>
        <w:t>NeLMA:  Northeastern Lumber Manufacturers' Association.</w:t>
      </w:r>
    </w:p>
    <w:p w:rsidR="00F46440" w:rsidRPr="002203BB" w:rsidRDefault="00F46440">
      <w:pPr>
        <w:pStyle w:val="PR2"/>
        <w:rPr>
          <w:sz w:val="20"/>
        </w:rPr>
      </w:pPr>
      <w:r w:rsidRPr="002203BB">
        <w:rPr>
          <w:sz w:val="20"/>
        </w:rPr>
        <w:t>NLGA:  National Lumber Grades Authority.</w:t>
      </w:r>
    </w:p>
    <w:p w:rsidR="00F46440" w:rsidRPr="002203BB" w:rsidRDefault="00F46440">
      <w:pPr>
        <w:pStyle w:val="PR2"/>
        <w:rPr>
          <w:sz w:val="20"/>
        </w:rPr>
      </w:pPr>
      <w:r w:rsidRPr="002203BB">
        <w:rPr>
          <w:sz w:val="20"/>
        </w:rPr>
        <w:t>RIS:  Redwood Inspection Service.</w:t>
      </w:r>
    </w:p>
    <w:p w:rsidR="00F46440" w:rsidRPr="002203BB" w:rsidRDefault="00F46440">
      <w:pPr>
        <w:pStyle w:val="PR2"/>
        <w:rPr>
          <w:sz w:val="20"/>
        </w:rPr>
      </w:pPr>
      <w:r w:rsidRPr="002203BB">
        <w:rPr>
          <w:sz w:val="20"/>
        </w:rPr>
        <w:t>SPIB:  The Southern Pine Inspection Bureau.</w:t>
      </w:r>
    </w:p>
    <w:p w:rsidR="00F46440" w:rsidRPr="002203BB" w:rsidRDefault="00F46440">
      <w:pPr>
        <w:pStyle w:val="PR2"/>
        <w:rPr>
          <w:sz w:val="20"/>
        </w:rPr>
      </w:pPr>
      <w:r w:rsidRPr="002203BB">
        <w:rPr>
          <w:sz w:val="20"/>
        </w:rPr>
        <w:t>WCLIB:  West Coast Lumber Inspection Bureau.</w:t>
      </w:r>
    </w:p>
    <w:p w:rsidR="00F46440" w:rsidRPr="002203BB" w:rsidRDefault="00F46440">
      <w:pPr>
        <w:pStyle w:val="PR2"/>
        <w:rPr>
          <w:sz w:val="20"/>
        </w:rPr>
      </w:pPr>
      <w:r w:rsidRPr="002203BB">
        <w:rPr>
          <w:sz w:val="20"/>
        </w:rPr>
        <w:t>WWPA:  Western Wood Products Association.</w:t>
      </w:r>
    </w:p>
    <w:p w:rsidR="00F46440" w:rsidRPr="002203BB" w:rsidRDefault="00F46440">
      <w:pPr>
        <w:pStyle w:val="PRT"/>
        <w:rPr>
          <w:sz w:val="20"/>
        </w:rPr>
      </w:pPr>
      <w:r w:rsidRPr="002203BB">
        <w:rPr>
          <w:sz w:val="20"/>
        </w:rPr>
        <w:t>PRODUCTS</w:t>
      </w:r>
    </w:p>
    <w:p w:rsidR="00495659" w:rsidRPr="002203BB" w:rsidRDefault="00495659" w:rsidP="00495659">
      <w:pPr>
        <w:pStyle w:val="ART"/>
        <w:rPr>
          <w:sz w:val="20"/>
        </w:rPr>
      </w:pPr>
      <w:r w:rsidRPr="002203BB">
        <w:rPr>
          <w:sz w:val="20"/>
        </w:rPr>
        <w:t>FIRE-RETARDANT-TREATED MATERIALS</w:t>
      </w:r>
    </w:p>
    <w:p w:rsidR="00495659" w:rsidRPr="002203BB" w:rsidRDefault="00495659" w:rsidP="00495659">
      <w:pPr>
        <w:pStyle w:val="PR1"/>
        <w:rPr>
          <w:sz w:val="20"/>
        </w:rPr>
      </w:pPr>
      <w:r w:rsidRPr="002203BB">
        <w:rPr>
          <w:sz w:val="20"/>
        </w:rPr>
        <w:t>General:  Comply with performance requirements in AWPA C27 (plywood).</w:t>
      </w:r>
    </w:p>
    <w:p w:rsidR="00495659" w:rsidRPr="002203BB" w:rsidRDefault="00495659" w:rsidP="00111241">
      <w:pPr>
        <w:pStyle w:val="PR2"/>
        <w:spacing w:before="240"/>
        <w:rPr>
          <w:sz w:val="20"/>
        </w:rPr>
      </w:pPr>
      <w:r w:rsidRPr="002203BB">
        <w:rPr>
          <w:sz w:val="20"/>
        </w:rPr>
        <w:t>Use Interior Type A, unless otherwise indicated.</w:t>
      </w:r>
    </w:p>
    <w:p w:rsidR="00495659" w:rsidRPr="002203BB" w:rsidRDefault="00495659" w:rsidP="00495659">
      <w:pPr>
        <w:pStyle w:val="PR1"/>
        <w:rPr>
          <w:sz w:val="20"/>
        </w:rPr>
      </w:pPr>
      <w:r w:rsidRPr="002203BB">
        <w:rPr>
          <w:sz w:val="20"/>
        </w:rPr>
        <w:t>Application:  Treat</w:t>
      </w:r>
      <w:r w:rsidRPr="002203BB">
        <w:rPr>
          <w:b/>
          <w:sz w:val="20"/>
        </w:rPr>
        <w:t xml:space="preserve"> </w:t>
      </w:r>
      <w:r w:rsidRPr="002203BB">
        <w:rPr>
          <w:sz w:val="20"/>
        </w:rPr>
        <w:t>items indicated on Drawings, and the following</w:t>
      </w:r>
      <w:r w:rsidRPr="002203BB">
        <w:rPr>
          <w:b/>
          <w:sz w:val="20"/>
        </w:rPr>
        <w:t>:</w:t>
      </w:r>
    </w:p>
    <w:p w:rsidR="00495659" w:rsidRPr="002203BB" w:rsidRDefault="00495659" w:rsidP="00111241">
      <w:pPr>
        <w:pStyle w:val="PR2"/>
        <w:spacing w:before="240"/>
        <w:rPr>
          <w:sz w:val="20"/>
        </w:rPr>
      </w:pPr>
      <w:r w:rsidRPr="002203BB">
        <w:rPr>
          <w:sz w:val="20"/>
        </w:rPr>
        <w:t>Plywood backing panels.</w:t>
      </w:r>
    </w:p>
    <w:p w:rsidR="00495659" w:rsidRPr="002203BB" w:rsidRDefault="00495659" w:rsidP="00495659">
      <w:pPr>
        <w:pStyle w:val="PR2"/>
        <w:numPr>
          <w:ilvl w:val="0"/>
          <w:numId w:val="0"/>
        </w:numPr>
        <w:ind w:left="1440"/>
        <w:rPr>
          <w:sz w:val="20"/>
        </w:rPr>
      </w:pPr>
    </w:p>
    <w:p w:rsidR="00F46440" w:rsidRPr="002203BB" w:rsidRDefault="00F46440">
      <w:pPr>
        <w:pStyle w:val="ART"/>
        <w:rPr>
          <w:sz w:val="20"/>
        </w:rPr>
      </w:pPr>
      <w:r w:rsidRPr="002203BB">
        <w:rPr>
          <w:sz w:val="20"/>
        </w:rPr>
        <w:lastRenderedPageBreak/>
        <w:t>MISCELLANEOUS LUMBER</w:t>
      </w:r>
    </w:p>
    <w:p w:rsidR="00F46440" w:rsidRPr="002203BB" w:rsidRDefault="00F46440">
      <w:pPr>
        <w:pStyle w:val="PR1"/>
        <w:rPr>
          <w:sz w:val="20"/>
        </w:rPr>
      </w:pPr>
      <w:r w:rsidRPr="002203BB">
        <w:rPr>
          <w:sz w:val="20"/>
        </w:rPr>
        <w:t>General:  Provide miscellaneous lumber indicated and lumber for support or attachment of other construction, including the following:</w:t>
      </w:r>
    </w:p>
    <w:p w:rsidR="00F46440" w:rsidRPr="002203BB" w:rsidRDefault="00F46440">
      <w:pPr>
        <w:pStyle w:val="PR2"/>
        <w:spacing w:before="240"/>
        <w:rPr>
          <w:sz w:val="20"/>
        </w:rPr>
      </w:pPr>
      <w:r w:rsidRPr="002203BB">
        <w:rPr>
          <w:sz w:val="20"/>
        </w:rPr>
        <w:t>Blocking.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Usually delete paragraph and subparagraphs below because exposed boards are normally finish carpentry.  Retain for utility shelving if necessary.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Retain paragraph and subparagraphs below for furring, grounds, and nailing strips if required, and for truss bracing specified by reference to this Section.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Delete first paragraph below if not acceptable.</w:t>
      </w:r>
    </w:p>
    <w:p w:rsidR="00F46440" w:rsidRPr="002203BB" w:rsidRDefault="00F46440">
      <w:pPr>
        <w:pStyle w:val="PR1"/>
        <w:rPr>
          <w:sz w:val="20"/>
        </w:rPr>
      </w:pPr>
      <w:r w:rsidRPr="002203BB">
        <w:rPr>
          <w:sz w:val="20"/>
        </w:rPr>
        <w:t>For blocking not used for attachment of other construction, Utility, Stud, or No. 3 grade lumber of any species may be used provided that it is cut and selected to eliminate defects that will interfere with its attachment and purpose.</w:t>
      </w:r>
    </w:p>
    <w:p w:rsidR="00F46440" w:rsidRPr="002203BB" w:rsidRDefault="00F46440">
      <w:pPr>
        <w:pStyle w:val="PR1"/>
        <w:rPr>
          <w:sz w:val="20"/>
        </w:rPr>
      </w:pPr>
      <w:r w:rsidRPr="002203BB">
        <w:rPr>
          <w:sz w:val="20"/>
        </w:rPr>
        <w:t>For blocking and nailers used for attachment of other construction, select and cut lumber to eliminate knots and other defects that will interfere with attachment of other work.</w:t>
      </w:r>
    </w:p>
    <w:p w:rsidR="00F46440" w:rsidRPr="002203BB" w:rsidRDefault="00F46440">
      <w:pPr>
        <w:pStyle w:val="PR1"/>
        <w:rPr>
          <w:sz w:val="20"/>
        </w:rPr>
      </w:pPr>
      <w:r w:rsidRPr="002203BB">
        <w:rPr>
          <w:sz w:val="20"/>
        </w:rPr>
        <w:t>For furring strips for installing plywood or hardboard paneling, select boards with no knots capable of producing bent-over nails and damage to paneling.</w:t>
      </w:r>
    </w:p>
    <w:p w:rsidR="00F46440" w:rsidRPr="002203BB" w:rsidRDefault="00F46440">
      <w:pPr>
        <w:pStyle w:val="ART"/>
        <w:rPr>
          <w:sz w:val="20"/>
        </w:rPr>
      </w:pPr>
      <w:r w:rsidRPr="002203BB">
        <w:rPr>
          <w:sz w:val="20"/>
        </w:rPr>
        <w:t>PLYWOOD BACKING PANELS</w:t>
      </w:r>
    </w:p>
    <w:p w:rsidR="00F46440" w:rsidRPr="002203BB" w:rsidRDefault="00F46440">
      <w:pPr>
        <w:pStyle w:val="PR1"/>
        <w:rPr>
          <w:sz w:val="20"/>
        </w:rPr>
      </w:pPr>
      <w:r w:rsidRPr="002203BB">
        <w:rPr>
          <w:sz w:val="20"/>
        </w:rPr>
        <w:t>Telephone and Electrical Equipment Backing Panels:  DOC PS 1, fire-retardant treated</w:t>
      </w:r>
      <w:r w:rsidRPr="002203BB">
        <w:rPr>
          <w:b/>
          <w:sz w:val="20"/>
        </w:rPr>
        <w:t>,</w:t>
      </w:r>
      <w:r w:rsidRPr="002203BB">
        <w:rPr>
          <w:sz w:val="20"/>
        </w:rPr>
        <w:t xml:space="preserve"> in thickness indicated or, if not indicated, not less than </w:t>
      </w:r>
      <w:r w:rsidRPr="002203BB">
        <w:rPr>
          <w:rStyle w:val="IP"/>
          <w:color w:val="auto"/>
          <w:sz w:val="20"/>
        </w:rPr>
        <w:t>1/2-inch</w:t>
      </w:r>
      <w:r w:rsidRPr="002203BB">
        <w:rPr>
          <w:rStyle w:val="SI"/>
          <w:color w:val="auto"/>
          <w:sz w:val="20"/>
        </w:rPr>
        <w:t xml:space="preserve"> </w:t>
      </w:r>
      <w:r w:rsidRPr="002203BB">
        <w:rPr>
          <w:sz w:val="20"/>
        </w:rPr>
        <w:t>nominal thickness.</w:t>
      </w:r>
    </w:p>
    <w:p w:rsidR="00F46440" w:rsidRPr="002203BB" w:rsidRDefault="00F46440">
      <w:pPr>
        <w:pStyle w:val="PRT"/>
        <w:rPr>
          <w:sz w:val="20"/>
        </w:rPr>
      </w:pPr>
      <w:r w:rsidRPr="002203BB">
        <w:rPr>
          <w:sz w:val="20"/>
        </w:rPr>
        <w:t>EXECUTION</w:t>
      </w:r>
    </w:p>
    <w:p w:rsidR="00F46440" w:rsidRPr="002203BB" w:rsidRDefault="00F46440">
      <w:pPr>
        <w:pStyle w:val="ART"/>
        <w:rPr>
          <w:sz w:val="20"/>
        </w:rPr>
      </w:pPr>
      <w:r w:rsidRPr="002203BB">
        <w:rPr>
          <w:sz w:val="20"/>
        </w:rPr>
        <w:t>INSTALLATION, GENERAL</w:t>
      </w:r>
    </w:p>
    <w:p w:rsidR="00F46440" w:rsidRPr="002203BB" w:rsidRDefault="00F46440">
      <w:pPr>
        <w:pStyle w:val="PR1"/>
        <w:rPr>
          <w:sz w:val="20"/>
        </w:rPr>
      </w:pPr>
      <w:r w:rsidRPr="002203BB">
        <w:rPr>
          <w:sz w:val="20"/>
        </w:rPr>
        <w:t>Do not splice structural members between supports, unless otherwise indicated.</w:t>
      </w:r>
    </w:p>
    <w:p w:rsidR="00F46440" w:rsidRPr="002203BB" w:rsidRDefault="00F46440">
      <w:pPr>
        <w:pStyle w:val="PR1"/>
        <w:rPr>
          <w:sz w:val="20"/>
        </w:rPr>
      </w:pPr>
      <w:r w:rsidRPr="002203BB">
        <w:rPr>
          <w:sz w:val="20"/>
        </w:rPr>
        <w:t>Provide blocking and framing as indicated and as required to support facing materials, fixtures, specialty items, and trim.</w:t>
      </w:r>
    </w:p>
    <w:p w:rsidR="00F46440" w:rsidRPr="002203BB" w:rsidRDefault="00F46440">
      <w:pPr>
        <w:pStyle w:val="PR2"/>
        <w:spacing w:before="240"/>
        <w:rPr>
          <w:sz w:val="20"/>
        </w:rPr>
      </w:pPr>
      <w:r w:rsidRPr="002203BB">
        <w:rPr>
          <w:sz w:val="20"/>
        </w:rPr>
        <w:t xml:space="preserve">Provide metal clips for fastening gypsum board or lath at corners and intersections where framing or blocking does not provide a surface for fastening edges of panels.  Space clips not more than </w:t>
      </w:r>
      <w:r w:rsidRPr="002203BB">
        <w:rPr>
          <w:rStyle w:val="IP"/>
          <w:color w:val="auto"/>
          <w:sz w:val="20"/>
        </w:rPr>
        <w:t>16 inches</w:t>
      </w:r>
      <w:r w:rsidRPr="002203BB">
        <w:rPr>
          <w:sz w:val="20"/>
        </w:rPr>
        <w:t>.</w:t>
      </w:r>
    </w:p>
    <w:p w:rsidR="00F46440" w:rsidRPr="002203BB" w:rsidRDefault="00F46440">
      <w:pPr>
        <w:pStyle w:val="PR1"/>
        <w:rPr>
          <w:sz w:val="20"/>
        </w:rPr>
      </w:pPr>
      <w:r w:rsidRPr="002203BB">
        <w:rPr>
          <w:sz w:val="20"/>
        </w:rPr>
        <w:t>Provide fire blocking in furred spaces, stud spaces, and other concealed cavities as indicated and as follows: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Delete first subparagraph below if no furred walls.</w:t>
      </w:r>
    </w:p>
    <w:p w:rsidR="00F46440" w:rsidRPr="002203BB" w:rsidRDefault="00F46440">
      <w:pPr>
        <w:pStyle w:val="PR2"/>
        <w:spacing w:before="240"/>
        <w:rPr>
          <w:sz w:val="20"/>
        </w:rPr>
      </w:pPr>
      <w:r w:rsidRPr="002203BB">
        <w:rPr>
          <w:sz w:val="20"/>
        </w:rPr>
        <w:t xml:space="preserve">Fire block furred spaces of walls, at each floor level, at ceiling, and at not more than </w:t>
      </w:r>
      <w:r w:rsidRPr="002203BB">
        <w:rPr>
          <w:rStyle w:val="IP"/>
          <w:color w:val="auto"/>
          <w:sz w:val="20"/>
        </w:rPr>
        <w:t>96 inches</w:t>
      </w:r>
      <w:r w:rsidRPr="002203BB">
        <w:rPr>
          <w:sz w:val="20"/>
        </w:rPr>
        <w:t>. with solid wood blocking or noncombustible materials accurately fitted to close furred spaces.</w:t>
      </w:r>
    </w:p>
    <w:p w:rsidR="00F46440" w:rsidRPr="002203BB" w:rsidRDefault="00F46440">
      <w:pPr>
        <w:pStyle w:val="PR2"/>
        <w:rPr>
          <w:sz w:val="20"/>
        </w:rPr>
      </w:pPr>
      <w:r w:rsidRPr="002203BB">
        <w:rPr>
          <w:sz w:val="20"/>
        </w:rPr>
        <w:t xml:space="preserve">Fire block concealed spaces of wood-framed walls and partitions at each floor level, at ceiling line of top story, and at not more than </w:t>
      </w:r>
      <w:r w:rsidRPr="002203BB">
        <w:rPr>
          <w:rStyle w:val="IP"/>
          <w:color w:val="auto"/>
          <w:sz w:val="20"/>
        </w:rPr>
        <w:t>96 inches</w:t>
      </w:r>
      <w:r w:rsidRPr="002203BB">
        <w:rPr>
          <w:sz w:val="20"/>
        </w:rPr>
        <w:t xml:space="preserve">.  Where fire blocking is not inherent in framing system used, provide closely fitted solid wood blocks of same width as framing members and </w:t>
      </w:r>
      <w:r w:rsidRPr="002203BB">
        <w:rPr>
          <w:rStyle w:val="IP"/>
          <w:color w:val="auto"/>
          <w:sz w:val="20"/>
        </w:rPr>
        <w:t>2-inch nominal</w:t>
      </w:r>
      <w:r w:rsidRPr="002203BB">
        <w:rPr>
          <w:sz w:val="20"/>
        </w:rPr>
        <w:t xml:space="preserve"> thickness.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Delete subparagraph below if floors supported on sleepers are not used.</w:t>
      </w:r>
    </w:p>
    <w:p w:rsidR="00F46440" w:rsidRPr="002203BB" w:rsidRDefault="00F46440">
      <w:pPr>
        <w:pStyle w:val="PR2"/>
        <w:rPr>
          <w:sz w:val="20"/>
        </w:rPr>
      </w:pPr>
      <w:r w:rsidRPr="002203BB">
        <w:rPr>
          <w:sz w:val="20"/>
        </w:rPr>
        <w:t xml:space="preserve">Fire block concealed spaces between floor sleepers with same material as sleepers to limit concealed spaces to not more than </w:t>
      </w:r>
      <w:r w:rsidRPr="002203BB">
        <w:rPr>
          <w:rStyle w:val="IP"/>
          <w:color w:val="auto"/>
          <w:sz w:val="20"/>
        </w:rPr>
        <w:t>100 sq. ft.</w:t>
      </w:r>
      <w:r w:rsidRPr="002203BB">
        <w:rPr>
          <w:rStyle w:val="SI"/>
          <w:color w:val="auto"/>
          <w:sz w:val="20"/>
        </w:rPr>
        <w:t xml:space="preserve"> (9.3 sq. m)</w:t>
      </w:r>
      <w:r w:rsidRPr="002203BB">
        <w:rPr>
          <w:sz w:val="20"/>
        </w:rPr>
        <w:t xml:space="preserve"> and to solidly fill space below partitions.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Usually show and describe fire blocking for cornices and trim on Drawings.</w:t>
      </w:r>
    </w:p>
    <w:p w:rsidR="00F46440" w:rsidRPr="002203BB" w:rsidRDefault="00F46440">
      <w:pPr>
        <w:pStyle w:val="PR2"/>
        <w:rPr>
          <w:sz w:val="20"/>
        </w:rPr>
      </w:pPr>
      <w:r w:rsidRPr="002203BB">
        <w:rPr>
          <w:sz w:val="20"/>
        </w:rPr>
        <w:t xml:space="preserve">Fire block concealed spaces behind combustible cornices and exterior trim at not more than </w:t>
      </w:r>
      <w:r w:rsidRPr="002203BB">
        <w:rPr>
          <w:rStyle w:val="IP"/>
          <w:color w:val="auto"/>
          <w:sz w:val="20"/>
        </w:rPr>
        <w:t>20 feet</w:t>
      </w:r>
      <w:r w:rsidRPr="002203BB">
        <w:rPr>
          <w:sz w:val="20"/>
        </w:rPr>
        <w:t>.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lastRenderedPageBreak/>
        <w:t>Revise paragraph below to include other kinds of nails if required.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Delete paragraph and subparagraphs below if no exposed framing.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Indicate locations of other fasteners, such as wood screws, bolts, and lag screws, on Drawings.</w:t>
      </w:r>
    </w:p>
    <w:p w:rsidR="00F46440" w:rsidRPr="002203BB" w:rsidRDefault="00F46440">
      <w:pPr>
        <w:pStyle w:val="ART"/>
        <w:rPr>
          <w:sz w:val="20"/>
        </w:rPr>
      </w:pPr>
      <w:r w:rsidRPr="002203BB">
        <w:rPr>
          <w:sz w:val="20"/>
        </w:rPr>
        <w:t xml:space="preserve">WOOD </w:t>
      </w:r>
      <w:r w:rsidRPr="00111241">
        <w:rPr>
          <w:sz w:val="20"/>
        </w:rPr>
        <w:t>GROUND,</w:t>
      </w:r>
      <w:r w:rsidRPr="002203BB">
        <w:rPr>
          <w:sz w:val="20"/>
        </w:rPr>
        <w:t xml:space="preserve"> BLOCKING, AND NAILER INSTALLATION</w:t>
      </w:r>
    </w:p>
    <w:p w:rsidR="00F46440" w:rsidRPr="002203BB" w:rsidRDefault="00F46440">
      <w:pPr>
        <w:pStyle w:val="PR1"/>
        <w:rPr>
          <w:sz w:val="20"/>
        </w:rPr>
      </w:pPr>
      <w:r w:rsidRPr="002203BB">
        <w:rPr>
          <w:sz w:val="20"/>
        </w:rPr>
        <w:t>Install where indicated and where required for</w:t>
      </w:r>
      <w:r w:rsidR="002203BB">
        <w:rPr>
          <w:sz w:val="20"/>
        </w:rPr>
        <w:t xml:space="preserve"> </w:t>
      </w:r>
      <w:r w:rsidRPr="002203BB">
        <w:rPr>
          <w:sz w:val="20"/>
        </w:rPr>
        <w:t>attaching other work.  Form to shapes indicated and cut as required for true line and level of attached work.  Coordinate locations with other work involved.</w:t>
      </w:r>
    </w:p>
    <w:p w:rsidR="00F46440" w:rsidRPr="002203BB" w:rsidRDefault="00F46440">
      <w:pPr>
        <w:pStyle w:val="PR1"/>
        <w:rPr>
          <w:sz w:val="20"/>
        </w:rPr>
      </w:pPr>
      <w:r w:rsidRPr="002203BB">
        <w:rPr>
          <w:sz w:val="20"/>
        </w:rPr>
        <w:t>Attach items to substrates to support applied loading.  Recess bolts and nuts flush with surfaces, unless otherwise indicated.</w:t>
      </w:r>
    </w:p>
    <w:p w:rsidR="00F46440" w:rsidRPr="002203BB" w:rsidRDefault="00F46440">
      <w:pPr>
        <w:pStyle w:val="PR1"/>
        <w:rPr>
          <w:sz w:val="20"/>
        </w:rPr>
      </w:pPr>
      <w:r w:rsidRPr="002203BB">
        <w:rPr>
          <w:sz w:val="20"/>
        </w:rPr>
        <w:t>Where wood-preservative-treated lumber is installed adjacent to metal decking, install continuous flexible flashing separator between wood and metal decking.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Retain paragraph below for conventional, not veneer, plaster.</w:t>
      </w:r>
    </w:p>
    <w:p w:rsidR="00F46440" w:rsidRPr="002203BB" w:rsidRDefault="00F46440">
      <w:pPr>
        <w:pStyle w:val="PR1"/>
        <w:rPr>
          <w:sz w:val="20"/>
        </w:rPr>
      </w:pPr>
      <w:r w:rsidRPr="002203BB">
        <w:rPr>
          <w:sz w:val="20"/>
        </w:rPr>
        <w:t xml:space="preserve">Provide permanent grounds of dressed, pressure-preservative-treated, key-beveled lumber not less than </w:t>
      </w:r>
      <w:r w:rsidRPr="002203BB">
        <w:rPr>
          <w:rStyle w:val="IP"/>
          <w:color w:val="auto"/>
          <w:sz w:val="20"/>
        </w:rPr>
        <w:t>1-1/2 inches</w:t>
      </w:r>
      <w:r w:rsidRPr="002203BB">
        <w:rPr>
          <w:sz w:val="20"/>
        </w:rPr>
        <w:t xml:space="preserve"> wide and of thickness required to bring face of ground to exact thickness of finish material.  Remove temporary grounds when no longer required.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Insert other specific requirements as needed for work.</w:t>
      </w:r>
    </w:p>
    <w:p w:rsidR="00F46440" w:rsidRPr="002203BB" w:rsidRDefault="00F46440">
      <w:pPr>
        <w:pStyle w:val="CMT"/>
        <w:rPr>
          <w:color w:val="auto"/>
          <w:sz w:val="20"/>
        </w:rPr>
      </w:pPr>
      <w:r w:rsidRPr="002203BB">
        <w:rPr>
          <w:color w:val="auto"/>
          <w:sz w:val="20"/>
        </w:rPr>
        <w:t>If framing is minor in scope and importance, delete remaining framing installation articles.  Review framing requirements for compliance with local building code.</w:t>
      </w:r>
    </w:p>
    <w:p w:rsidR="00F46440" w:rsidRPr="002203BB" w:rsidRDefault="00F46440">
      <w:pPr>
        <w:pStyle w:val="EOS"/>
        <w:rPr>
          <w:sz w:val="20"/>
        </w:rPr>
      </w:pPr>
      <w:r w:rsidRPr="002203BB">
        <w:rPr>
          <w:sz w:val="20"/>
        </w:rPr>
        <w:t>END OF SECTION 061000</w:t>
      </w:r>
    </w:p>
    <w:sectPr w:rsidR="00F46440" w:rsidRPr="002203BB" w:rsidSect="008D6785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77" w:rsidRDefault="002B0C77">
      <w:r>
        <w:separator/>
      </w:r>
    </w:p>
  </w:endnote>
  <w:endnote w:type="continuationSeparator" w:id="0">
    <w:p w:rsidR="002B0C77" w:rsidRDefault="002B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BB" w:rsidRDefault="002203BB"/>
  <w:tbl>
    <w:tblPr>
      <w:tblW w:w="9504" w:type="dxa"/>
      <w:tblLayout w:type="fixed"/>
      <w:tblCellMar>
        <w:left w:w="65" w:type="dxa"/>
        <w:right w:w="65" w:type="dxa"/>
      </w:tblCellMar>
      <w:tblLook w:val="0000" w:firstRow="0" w:lastRow="0" w:firstColumn="0" w:lastColumn="0" w:noHBand="0" w:noVBand="0"/>
    </w:tblPr>
    <w:tblGrid>
      <w:gridCol w:w="9504"/>
    </w:tblGrid>
    <w:tr w:rsidR="002203BB" w:rsidTr="002203BB">
      <w:tc>
        <w:tcPr>
          <w:tcW w:w="9504" w:type="dxa"/>
          <w:tcBorders>
            <w:bottom w:val="single" w:sz="4" w:space="0" w:color="auto"/>
          </w:tcBorders>
        </w:tcPr>
        <w:p w:rsidR="002203BB" w:rsidRPr="002203BB" w:rsidRDefault="002203BB" w:rsidP="002203BB">
          <w:pPr>
            <w:pStyle w:val="FTR"/>
            <w:jc w:val="center"/>
            <w:rPr>
              <w:rStyle w:val="NAM"/>
              <w:b/>
              <w:sz w:val="20"/>
            </w:rPr>
          </w:pPr>
          <w:r w:rsidRPr="002203BB">
            <w:rPr>
              <w:rStyle w:val="NAM"/>
              <w:b/>
              <w:sz w:val="20"/>
            </w:rPr>
            <w:t>PROPERTY OF THE UNITED STATES GOVERNMENT – FOR OFFICIAL USE ONLY</w:t>
          </w:r>
        </w:p>
        <w:p w:rsidR="002203BB" w:rsidRPr="002203BB" w:rsidRDefault="002203BB" w:rsidP="002203BB">
          <w:pPr>
            <w:pStyle w:val="FTR"/>
            <w:jc w:val="center"/>
            <w:rPr>
              <w:rStyle w:val="NAM"/>
              <w:b/>
              <w:sz w:val="20"/>
            </w:rPr>
          </w:pPr>
          <w:r w:rsidRPr="002203BB">
            <w:rPr>
              <w:rStyle w:val="NAM"/>
              <w:b/>
              <w:sz w:val="20"/>
            </w:rPr>
            <w:t>Do not remove this notice</w:t>
          </w:r>
        </w:p>
        <w:p w:rsidR="002203BB" w:rsidRPr="002203BB" w:rsidRDefault="002203BB" w:rsidP="002203BB">
          <w:pPr>
            <w:pStyle w:val="FTR"/>
            <w:jc w:val="center"/>
            <w:rPr>
              <w:rStyle w:val="NAM"/>
              <w:b/>
              <w:sz w:val="20"/>
            </w:rPr>
          </w:pPr>
          <w:r w:rsidRPr="002203BB">
            <w:rPr>
              <w:rStyle w:val="NAM"/>
              <w:b/>
              <w:sz w:val="20"/>
            </w:rPr>
            <w:t>Properly destroy documents when no longer needed</w:t>
          </w:r>
        </w:p>
        <w:p w:rsidR="002203BB" w:rsidRPr="00111241" w:rsidRDefault="002203BB" w:rsidP="002203BB">
          <w:pPr>
            <w:pStyle w:val="FTR"/>
            <w:rPr>
              <w:sz w:val="20"/>
            </w:rPr>
          </w:pPr>
          <w:r w:rsidRPr="00111241">
            <w:rPr>
              <w:rStyle w:val="NAM"/>
              <w:sz w:val="20"/>
            </w:rPr>
            <w:t xml:space="preserve">ROUGH CARPENTRY                                                                                                      </w:t>
          </w:r>
          <w:r w:rsidRPr="00111241">
            <w:rPr>
              <w:rStyle w:val="NUM"/>
              <w:sz w:val="20"/>
            </w:rPr>
            <w:t>061000</w:t>
          </w:r>
          <w:r w:rsidRPr="00111241">
            <w:rPr>
              <w:sz w:val="20"/>
            </w:rPr>
            <w:t xml:space="preserve"> - </w:t>
          </w:r>
          <w:r w:rsidR="00EA4B7F" w:rsidRPr="00111241">
            <w:rPr>
              <w:sz w:val="20"/>
            </w:rPr>
            <w:fldChar w:fldCharType="begin"/>
          </w:r>
          <w:r w:rsidR="00EA4B7F" w:rsidRPr="00111241">
            <w:rPr>
              <w:sz w:val="20"/>
            </w:rPr>
            <w:instrText xml:space="preserve"> PAGE </w:instrText>
          </w:r>
          <w:r w:rsidR="00EA4B7F" w:rsidRPr="00111241">
            <w:rPr>
              <w:sz w:val="20"/>
            </w:rPr>
            <w:fldChar w:fldCharType="separate"/>
          </w:r>
          <w:r w:rsidR="00126833">
            <w:rPr>
              <w:noProof/>
              <w:sz w:val="20"/>
            </w:rPr>
            <w:t>1</w:t>
          </w:r>
          <w:r w:rsidR="00EA4B7F" w:rsidRPr="00111241">
            <w:rPr>
              <w:noProof/>
              <w:sz w:val="20"/>
            </w:rPr>
            <w:fldChar w:fldCharType="end"/>
          </w:r>
        </w:p>
      </w:tc>
    </w:tr>
    <w:tr w:rsidR="002203BB" w:rsidTr="002203BB">
      <w:tc>
        <w:tcPr>
          <w:tcW w:w="9504" w:type="dxa"/>
          <w:tcBorders>
            <w:top w:val="single" w:sz="4" w:space="0" w:color="auto"/>
          </w:tcBorders>
        </w:tcPr>
        <w:p w:rsidR="002203BB" w:rsidRPr="00111241" w:rsidRDefault="002203BB" w:rsidP="002203BB">
          <w:pPr>
            <w:pStyle w:val="FTR"/>
            <w:rPr>
              <w:rStyle w:val="NAM"/>
              <w:sz w:val="20"/>
            </w:rPr>
          </w:pPr>
          <w:r w:rsidRPr="00111241">
            <w:rPr>
              <w:rStyle w:val="NAM"/>
              <w:sz w:val="20"/>
            </w:rPr>
            <w:t xml:space="preserve">AMEC Environment &amp; Infrastructure, Inc.                                                                         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77" w:rsidRDefault="002B0C77">
      <w:r>
        <w:separator/>
      </w:r>
    </w:p>
  </w:footnote>
  <w:footnote w:type="continuationSeparator" w:id="0">
    <w:p w:rsidR="002B0C77" w:rsidRDefault="002B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7F" w:rsidRPr="00EA4B7F" w:rsidRDefault="00EA4B7F" w:rsidP="00EA4B7F">
    <w:pPr>
      <w:pStyle w:val="Header"/>
      <w:rPr>
        <w:sz w:val="20"/>
      </w:rPr>
    </w:pPr>
    <w:r w:rsidRPr="00EA4B7F">
      <w:rPr>
        <w:sz w:val="20"/>
      </w:rPr>
      <w:t>GSA New England Region</w:t>
    </w:r>
    <w:r w:rsidRPr="00EA4B7F">
      <w:rPr>
        <w:sz w:val="20"/>
      </w:rPr>
      <w:tab/>
    </w:r>
    <w:r w:rsidRPr="00EA4B7F">
      <w:rPr>
        <w:sz w:val="20"/>
      </w:rPr>
      <w:tab/>
    </w:r>
    <w:r w:rsidR="00126833">
      <w:rPr>
        <w:sz w:val="20"/>
      </w:rPr>
      <w:t>December</w:t>
    </w:r>
    <w:r w:rsidRPr="00EA4B7F">
      <w:rPr>
        <w:sz w:val="20"/>
      </w:rPr>
      <w:t xml:space="preserve"> 2012</w:t>
    </w:r>
  </w:p>
  <w:p w:rsidR="00EA4B7F" w:rsidRPr="00EA4B7F" w:rsidRDefault="00EA4B7F" w:rsidP="00EA4B7F">
    <w:pPr>
      <w:pStyle w:val="Header"/>
      <w:rPr>
        <w:sz w:val="20"/>
      </w:rPr>
    </w:pPr>
    <w:r w:rsidRPr="00EA4B7F">
      <w:rPr>
        <w:sz w:val="20"/>
      </w:rPr>
      <w:t>Portland International Jetport, Portland ME</w:t>
    </w:r>
    <w:r w:rsidRPr="00EA4B7F">
      <w:rPr>
        <w:sz w:val="20"/>
      </w:rPr>
      <w:tab/>
    </w:r>
    <w:r w:rsidRPr="00EA4B7F">
      <w:rPr>
        <w:sz w:val="20"/>
      </w:rPr>
      <w:tab/>
    </w:r>
    <w:r w:rsidR="00126833" w:rsidRPr="00126833">
      <w:rPr>
        <w:sz w:val="20"/>
      </w:rPr>
      <w:t>Issued for Construction</w:t>
    </w:r>
  </w:p>
  <w:p w:rsidR="00EA4B7F" w:rsidRPr="00EA4B7F" w:rsidRDefault="00EA4B7F" w:rsidP="00EA4B7F">
    <w:pPr>
      <w:pStyle w:val="Header"/>
      <w:rPr>
        <w:sz w:val="20"/>
      </w:rPr>
    </w:pPr>
    <w:r w:rsidRPr="00EA4B7F">
      <w:rPr>
        <w:sz w:val="20"/>
      </w:rPr>
      <w:t>TSA Portland, ME Succeeding Lease and Expansion</w:t>
    </w:r>
  </w:p>
  <w:p w:rsidR="002B0C77" w:rsidRPr="002203BB" w:rsidRDefault="002B0C77" w:rsidP="002203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F46440"/>
    <w:rsid w:val="000D12CE"/>
    <w:rsid w:val="00111241"/>
    <w:rsid w:val="00126833"/>
    <w:rsid w:val="002203BB"/>
    <w:rsid w:val="002B0C77"/>
    <w:rsid w:val="003A3FE3"/>
    <w:rsid w:val="00495659"/>
    <w:rsid w:val="00874433"/>
    <w:rsid w:val="008D6785"/>
    <w:rsid w:val="00CA7AFC"/>
    <w:rsid w:val="00EA4B7F"/>
    <w:rsid w:val="00F4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785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8D6785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D6785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D6785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8D6785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8D6785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8D6785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D6785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8D6785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D6785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8D6785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8D6785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8D6785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8D6785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D6785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D6785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D6785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D678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D6785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D6785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D6785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D6785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D678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D6785"/>
    <w:pPr>
      <w:suppressAutoHyphens/>
    </w:pPr>
  </w:style>
  <w:style w:type="paragraph" w:customStyle="1" w:styleId="TCE">
    <w:name w:val="TCE"/>
    <w:basedOn w:val="Normal"/>
    <w:rsid w:val="008D6785"/>
    <w:pPr>
      <w:suppressAutoHyphens/>
      <w:ind w:left="144" w:hanging="144"/>
    </w:pPr>
  </w:style>
  <w:style w:type="paragraph" w:customStyle="1" w:styleId="EOS">
    <w:name w:val="EOS"/>
    <w:basedOn w:val="Normal"/>
    <w:rsid w:val="008D6785"/>
    <w:pPr>
      <w:suppressAutoHyphens/>
      <w:spacing w:before="480"/>
      <w:jc w:val="both"/>
    </w:pPr>
  </w:style>
  <w:style w:type="paragraph" w:customStyle="1" w:styleId="ANT">
    <w:name w:val="ANT"/>
    <w:basedOn w:val="Normal"/>
    <w:rsid w:val="008D6785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8D6785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D6785"/>
  </w:style>
  <w:style w:type="character" w:customStyle="1" w:styleId="SPN">
    <w:name w:val="SPN"/>
    <w:basedOn w:val="DefaultParagraphFont"/>
    <w:rsid w:val="008D6785"/>
  </w:style>
  <w:style w:type="character" w:customStyle="1" w:styleId="SPD">
    <w:name w:val="SPD"/>
    <w:basedOn w:val="DefaultParagraphFont"/>
    <w:rsid w:val="008D6785"/>
  </w:style>
  <w:style w:type="character" w:customStyle="1" w:styleId="NUM">
    <w:name w:val="NUM"/>
    <w:basedOn w:val="DefaultParagraphFont"/>
    <w:rsid w:val="008D6785"/>
  </w:style>
  <w:style w:type="character" w:customStyle="1" w:styleId="NAM">
    <w:name w:val="NAM"/>
    <w:basedOn w:val="DefaultParagraphFont"/>
    <w:rsid w:val="008D6785"/>
  </w:style>
  <w:style w:type="character" w:customStyle="1" w:styleId="SI">
    <w:name w:val="SI"/>
    <w:basedOn w:val="DefaultParagraphFont"/>
    <w:rsid w:val="008D6785"/>
    <w:rPr>
      <w:vanish/>
      <w:color w:val="008080"/>
    </w:rPr>
  </w:style>
  <w:style w:type="character" w:customStyle="1" w:styleId="IP">
    <w:name w:val="IP"/>
    <w:basedOn w:val="DefaultParagraphFont"/>
    <w:rsid w:val="008D6785"/>
    <w:rPr>
      <w:color w:val="000000"/>
    </w:rPr>
  </w:style>
  <w:style w:type="paragraph" w:customStyle="1" w:styleId="RJUST">
    <w:name w:val="RJUST"/>
    <w:basedOn w:val="Normal"/>
    <w:rsid w:val="008D6785"/>
    <w:pPr>
      <w:jc w:val="right"/>
    </w:pPr>
  </w:style>
  <w:style w:type="paragraph" w:styleId="Header">
    <w:name w:val="header"/>
    <w:basedOn w:val="Normal"/>
    <w:link w:val="HeaderChar"/>
    <w:rsid w:val="002203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03BB"/>
    <w:rPr>
      <w:sz w:val="22"/>
    </w:rPr>
  </w:style>
  <w:style w:type="paragraph" w:styleId="Footer">
    <w:name w:val="footer"/>
    <w:basedOn w:val="Normal"/>
    <w:link w:val="FooterChar"/>
    <w:rsid w:val="002203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03B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651</Words>
  <Characters>3622</Characters>
  <Application>Microsoft Office Word</Application>
  <DocSecurity>0</DocSecurity>
  <Lines>71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061000 - ROUGH CARPENTRY</vt:lpstr>
    </vt:vector>
  </TitlesOfParts>
  <Company>Amec Plc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061000 - ROUGH CARPENTRY</dc:title>
  <dc:subject>ROUGH CARPENTRY</dc:subject>
  <dc:creator>ARCOM, Inc.</dc:creator>
  <cp:keywords>BAS-12345-MS80</cp:keywords>
  <cp:lastModifiedBy>lorrie.picard</cp:lastModifiedBy>
  <cp:revision>8</cp:revision>
  <dcterms:created xsi:type="dcterms:W3CDTF">2012-07-09T19:43:00Z</dcterms:created>
  <dcterms:modified xsi:type="dcterms:W3CDTF">2013-01-02T15:03:00Z</dcterms:modified>
</cp:coreProperties>
</file>