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072A70">
        <w:t xml:space="preserve"> The Treehouse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072A70">
        <w:t xml:space="preserve"> 484 Stevens Ave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072A70">
        <w:t xml:space="preserve"> 135-E-011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072A70">
        <w:t xml:space="preserve"> B-1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072A70">
        <w:t xml:space="preserve"> restaurant with entertainment and outdoor dining on private property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072A70">
        <w:t xml:space="preserve"> No – second floor has been restaurant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072A70">
        <w:t xml:space="preserve"> 1/21/15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072A70">
        <w:t xml:space="preserve">  Where is the outside dining located? It is permitted on a deck that was built in 2012.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072A70"/>
    <w:rsid w:val="0020611D"/>
    <w:rsid w:val="002D246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2015-01-21T20:20:00Z</dcterms:created>
  <dcterms:modified xsi:type="dcterms:W3CDTF">2015-01-21T20:20:00Z</dcterms:modified>
</cp:coreProperties>
</file>