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5142" w:rsidRDefault="00FC5142"/>
    <w:p w:rsidR="00FC5142" w:rsidRDefault="00525C7F">
      <w:r>
        <w:rPr>
          <w:rFonts w:ascii="Expo Sans Pro Light" w:eastAsia="Expo Sans Pro Light" w:hAnsi="Expo Sans Pro Light" w:cs="Expo Sans Pro Light"/>
          <w:i/>
          <w:sz w:val="16"/>
          <w:szCs w:val="16"/>
        </w:rPr>
        <w:t>Ann Machado, Zoning Administrator</w:t>
      </w:r>
    </w:p>
    <w:p w:rsidR="00FC5142" w:rsidRDefault="00FC5142"/>
    <w:p w:rsidR="00FC5142" w:rsidRDefault="00FC5142"/>
    <w:p w:rsidR="00FC5142" w:rsidRDefault="00525C7F">
      <w:r>
        <w:rPr>
          <w:rFonts w:ascii="Times New Roman" w:eastAsia="Times New Roman" w:hAnsi="Times New Roman" w:cs="Times New Roman"/>
        </w:rPr>
        <w:t>TO:</w:t>
      </w:r>
      <w:r>
        <w:rPr>
          <w:rFonts w:ascii="Times New Roman" w:eastAsia="Times New Roman" w:hAnsi="Times New Roman" w:cs="Times New Roman"/>
        </w:rPr>
        <w:tab/>
      </w:r>
      <w:r>
        <w:rPr>
          <w:rFonts w:ascii="Times New Roman" w:eastAsia="Times New Roman" w:hAnsi="Times New Roman" w:cs="Times New Roman"/>
        </w:rPr>
        <w:tab/>
        <w:t>Zoning Board of Appeal Chair and Members</w:t>
      </w:r>
    </w:p>
    <w:p w:rsidR="00FC5142" w:rsidRDefault="00FC5142"/>
    <w:p w:rsidR="00FC5142" w:rsidRDefault="00525C7F">
      <w:r>
        <w:rPr>
          <w:rFonts w:ascii="Times New Roman" w:eastAsia="Times New Roman" w:hAnsi="Times New Roman" w:cs="Times New Roman"/>
        </w:rPr>
        <w:t>FROM:</w:t>
      </w:r>
      <w:r>
        <w:rPr>
          <w:rFonts w:ascii="Times New Roman" w:eastAsia="Times New Roman" w:hAnsi="Times New Roman" w:cs="Times New Roman"/>
        </w:rPr>
        <w:tab/>
        <w:t xml:space="preserve"> Ann Machado, Zoning Administrator</w:t>
      </w:r>
    </w:p>
    <w:p w:rsidR="00FC5142" w:rsidRDefault="00FC5142"/>
    <w:p w:rsidR="00FC5142" w:rsidRDefault="00525C7F">
      <w:r>
        <w:rPr>
          <w:rFonts w:ascii="Times New Roman" w:eastAsia="Times New Roman" w:hAnsi="Times New Roman" w:cs="Times New Roman"/>
        </w:rPr>
        <w:t xml:space="preserve">SUBJECT: </w:t>
      </w:r>
      <w:r>
        <w:rPr>
          <w:rFonts w:ascii="Times New Roman" w:eastAsia="Times New Roman" w:hAnsi="Times New Roman" w:cs="Times New Roman"/>
        </w:rPr>
        <w:tab/>
        <w:t xml:space="preserve">Interpretation Appeal for 481 Danforth Street, CBL 071-A-001  </w:t>
      </w:r>
    </w:p>
    <w:p w:rsidR="00FC5142" w:rsidRDefault="00FC5142"/>
    <w:p w:rsidR="00FC5142" w:rsidRDefault="00525C7F">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t>July 19, 2016</w:t>
      </w:r>
    </w:p>
    <w:p w:rsidR="00FC5142" w:rsidRDefault="00FC5142"/>
    <w:p w:rsidR="00FC5142" w:rsidRDefault="00525C7F">
      <w:bookmarkStart w:id="0" w:name="h.gjdgxs" w:colFirst="0" w:colLast="0"/>
      <w:bookmarkEnd w:id="0"/>
      <w:r>
        <w:rPr>
          <w:rFonts w:ascii="Times New Roman" w:eastAsia="Times New Roman" w:hAnsi="Times New Roman" w:cs="Times New Roman"/>
        </w:rPr>
        <w:t xml:space="preserve">On April 20, 2016 I received an email from Tyler </w:t>
      </w:r>
      <w:proofErr w:type="spellStart"/>
      <w:r>
        <w:rPr>
          <w:rFonts w:ascii="Times New Roman" w:eastAsia="Times New Roman" w:hAnsi="Times New Roman" w:cs="Times New Roman"/>
        </w:rPr>
        <w:t>Norod</w:t>
      </w:r>
      <w:proofErr w:type="spellEnd"/>
      <w:r>
        <w:rPr>
          <w:rFonts w:ascii="Times New Roman" w:eastAsia="Times New Roman" w:hAnsi="Times New Roman" w:cs="Times New Roman"/>
        </w:rPr>
        <w:t xml:space="preserve">, the Housing Planner in the Housing and Community Development Division regarding the use of the an apartment at 418 Danforth Street for a short term rental. Mr. </w:t>
      </w:r>
      <w:proofErr w:type="spellStart"/>
      <w:r>
        <w:rPr>
          <w:rFonts w:ascii="Times New Roman" w:eastAsia="Times New Roman" w:hAnsi="Times New Roman" w:cs="Times New Roman"/>
        </w:rPr>
        <w:t>Norod</w:t>
      </w:r>
      <w:proofErr w:type="spellEnd"/>
      <w:r>
        <w:rPr>
          <w:rFonts w:ascii="Times New Roman" w:eastAsia="Times New Roman" w:hAnsi="Times New Roman" w:cs="Times New Roman"/>
        </w:rPr>
        <w:t xml:space="preserve"> and I had previously worked togeth</w:t>
      </w:r>
      <w:r>
        <w:rPr>
          <w:rFonts w:ascii="Times New Roman" w:eastAsia="Times New Roman" w:hAnsi="Times New Roman" w:cs="Times New Roman"/>
        </w:rPr>
        <w:t>er on a few properties that were being used for short term rentals and have been working with other City staff and management to coordinate an enforcement protocol for enforcing existing City ordinances which do not allow such rentals.</w:t>
      </w:r>
      <w:bookmarkStart w:id="1" w:name="_GoBack"/>
      <w:bookmarkEnd w:id="1"/>
      <w:r>
        <w:rPr>
          <w:rFonts w:ascii="Times New Roman" w:eastAsia="Times New Roman" w:hAnsi="Times New Roman" w:cs="Times New Roman"/>
        </w:rPr>
        <w:t xml:space="preserve">  After consideri</w:t>
      </w:r>
      <w:r>
        <w:rPr>
          <w:rFonts w:ascii="Times New Roman" w:eastAsia="Times New Roman" w:hAnsi="Times New Roman" w:cs="Times New Roman"/>
        </w:rPr>
        <w:t xml:space="preserve">ng the facts relating to the short-term rental of this property, including not only that it was listed for short term rent on Airbnb but was also being listed for sale with short term rental of two units as an advertised and purportedly permissible use, I </w:t>
      </w:r>
      <w:r>
        <w:rPr>
          <w:rFonts w:ascii="Times New Roman" w:eastAsia="Times New Roman" w:hAnsi="Times New Roman" w:cs="Times New Roman"/>
        </w:rPr>
        <w:t>determined that action was necessary.</w:t>
      </w:r>
    </w:p>
    <w:p w:rsidR="00FC5142" w:rsidRDefault="00FC5142"/>
    <w:p w:rsidR="00FC5142" w:rsidRDefault="00525C7F">
      <w:r>
        <w:rPr>
          <w:rFonts w:ascii="Times New Roman" w:eastAsia="Times New Roman" w:hAnsi="Times New Roman" w:cs="Times New Roman"/>
        </w:rPr>
        <w:t xml:space="preserve">I mailed a letter to the property owner on May 25, 2016 notifying him that the short-term rental of the Property was in violation of the City’s Code of Ordinances. The letter was addressed to Alexander V. </w:t>
      </w:r>
      <w:proofErr w:type="spellStart"/>
      <w:r>
        <w:rPr>
          <w:rFonts w:ascii="Times New Roman" w:eastAsia="Times New Roman" w:hAnsi="Times New Roman" w:cs="Times New Roman"/>
        </w:rPr>
        <w:t>Feddersen</w:t>
      </w:r>
      <w:proofErr w:type="spellEnd"/>
      <w:r>
        <w:rPr>
          <w:rFonts w:ascii="Times New Roman" w:eastAsia="Times New Roman" w:hAnsi="Times New Roman" w:cs="Times New Roman"/>
        </w:rPr>
        <w:t>, 4</w:t>
      </w:r>
      <w:r>
        <w:rPr>
          <w:rFonts w:ascii="Times New Roman" w:eastAsia="Times New Roman" w:hAnsi="Times New Roman" w:cs="Times New Roman"/>
        </w:rPr>
        <w:t xml:space="preserve">81, LLC, 481 Danforth Street, Portland (Exhibit A).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 letter, I stated that our office had “recently received complaints” about the renting of short term rentals at the property. The two letters and emails that I had sent previously to properties oper</w:t>
      </w:r>
      <w:r>
        <w:rPr>
          <w:rFonts w:ascii="Times New Roman" w:eastAsia="Times New Roman" w:hAnsi="Times New Roman" w:cs="Times New Roman"/>
        </w:rPr>
        <w:t xml:space="preserve">ating illegal short term rentals had been based on complaints from the public. When I wrote the letter for 481 Danforth Street, I was unaware that the illegal use of part of the property for short term rentals was discovered by Mr. </w:t>
      </w:r>
      <w:proofErr w:type="spellStart"/>
      <w:r>
        <w:rPr>
          <w:rFonts w:ascii="Times New Roman" w:eastAsia="Times New Roman" w:hAnsi="Times New Roman" w:cs="Times New Roman"/>
        </w:rPr>
        <w:t>Norod</w:t>
      </w:r>
      <w:proofErr w:type="spellEnd"/>
      <w:r>
        <w:rPr>
          <w:rFonts w:ascii="Times New Roman" w:eastAsia="Times New Roman" w:hAnsi="Times New Roman" w:cs="Times New Roman"/>
        </w:rPr>
        <w:t xml:space="preserve"> during the normal </w:t>
      </w:r>
      <w:r>
        <w:rPr>
          <w:rFonts w:ascii="Times New Roman" w:eastAsia="Times New Roman" w:hAnsi="Times New Roman" w:cs="Times New Roman"/>
        </w:rPr>
        <w:t>research that he does as part of his job rather than through a complaint from a member of the public. Although it was not brought to my attention by a complaint from the public, once I have been asked to address an illegal use of a property, I must address</w:t>
      </w:r>
      <w:r>
        <w:rPr>
          <w:rFonts w:ascii="Times New Roman" w:eastAsia="Times New Roman" w:hAnsi="Times New Roman" w:cs="Times New Roman"/>
        </w:rPr>
        <w:t xml:space="preserve"> it.  The City has always been and still remains authorized to enforce its Code, whether or not a specific complaint has been made.</w:t>
      </w:r>
    </w:p>
    <w:p w:rsidR="00FC5142" w:rsidRDefault="00FC5142"/>
    <w:p w:rsidR="00FC5142" w:rsidRDefault="00525C7F">
      <w:r>
        <w:rPr>
          <w:rFonts w:ascii="Times New Roman" w:eastAsia="Times New Roman" w:hAnsi="Times New Roman" w:cs="Times New Roman"/>
        </w:rPr>
        <w:t xml:space="preserve">The legal use of the property at 481 Danforth Street is three dwelling units as shown on the certificate of occupancy that </w:t>
      </w:r>
      <w:r>
        <w:rPr>
          <w:rFonts w:ascii="Times New Roman" w:eastAsia="Times New Roman" w:hAnsi="Times New Roman" w:cs="Times New Roman"/>
        </w:rPr>
        <w:t xml:space="preserve">was issued on 1/19/2016. </w:t>
      </w:r>
      <w:proofErr w:type="gramStart"/>
      <w:r>
        <w:rPr>
          <w:rFonts w:ascii="Times New Roman" w:eastAsia="Times New Roman" w:hAnsi="Times New Roman" w:cs="Times New Roman"/>
        </w:rPr>
        <w:t>(Exhibit B).</w:t>
      </w:r>
      <w:proofErr w:type="gramEnd"/>
      <w:r>
        <w:rPr>
          <w:rFonts w:ascii="Times New Roman" w:eastAsia="Times New Roman" w:hAnsi="Times New Roman" w:cs="Times New Roman"/>
        </w:rPr>
        <w:t xml:space="preserve"> Section 14-47 </w:t>
      </w:r>
      <w:r>
        <w:rPr>
          <w:rFonts w:ascii="Times New Roman" w:eastAsia="Times New Roman" w:hAnsi="Times New Roman" w:cs="Times New Roman"/>
        </w:rPr>
        <w:lastRenderedPageBreak/>
        <w:t>defines a dwelling as:</w:t>
      </w:r>
      <w:r>
        <w:rPr>
          <w:rFonts w:ascii="Courier New" w:eastAsia="Courier New" w:hAnsi="Courier New" w:cs="Courier New"/>
          <w:i/>
        </w:rPr>
        <w:t xml:space="preserve"> </w:t>
      </w:r>
      <w:r>
        <w:rPr>
          <w:rFonts w:ascii="Times New Roman" w:eastAsia="Times New Roman" w:hAnsi="Times New Roman" w:cs="Times New Roman"/>
          <w:i/>
        </w:rPr>
        <w:t xml:space="preserve">A building or portion thereof used exclusively for </w:t>
      </w:r>
      <w:r>
        <w:rPr>
          <w:rFonts w:ascii="Times New Roman" w:eastAsia="Times New Roman" w:hAnsi="Times New Roman" w:cs="Times New Roman"/>
          <w:i/>
        </w:rPr>
        <w:t xml:space="preserve">residential occupancy, including </w:t>
      </w:r>
      <w:r>
        <w:rPr>
          <w:rFonts w:ascii="Times New Roman" w:eastAsia="Times New Roman" w:hAnsi="Times New Roman" w:cs="Times New Roman"/>
          <w:i/>
          <w:u w:val="single"/>
        </w:rPr>
        <w:t>single-family, two-family and multifamily dwellings</w:t>
      </w:r>
      <w:r>
        <w:rPr>
          <w:rFonts w:ascii="Times New Roman" w:eastAsia="Times New Roman" w:hAnsi="Times New Roman" w:cs="Times New Roman"/>
          <w:i/>
        </w:rPr>
        <w:t xml:space="preserve">, but not including hotels, lodging houses, </w:t>
      </w:r>
      <w:proofErr w:type="gramStart"/>
      <w:r>
        <w:rPr>
          <w:rFonts w:ascii="Times New Roman" w:eastAsia="Times New Roman" w:hAnsi="Times New Roman" w:cs="Times New Roman"/>
          <w:i/>
        </w:rPr>
        <w:t>sh</w:t>
      </w:r>
      <w:r>
        <w:rPr>
          <w:rFonts w:ascii="Times New Roman" w:eastAsia="Times New Roman" w:hAnsi="Times New Roman" w:cs="Times New Roman"/>
          <w:i/>
        </w:rPr>
        <w:t>eltered</w:t>
      </w:r>
      <w:proofErr w:type="gramEnd"/>
      <w:r>
        <w:rPr>
          <w:rFonts w:ascii="Times New Roman" w:eastAsia="Times New Roman" w:hAnsi="Times New Roman" w:cs="Times New Roman"/>
          <w:i/>
        </w:rPr>
        <w:t xml:space="preserve"> care group homes or tourist homes</w:t>
      </w:r>
      <w:r>
        <w:rPr>
          <w:rFonts w:ascii="Courier New" w:eastAsia="Courier New" w:hAnsi="Courier New" w:cs="Courier New"/>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Section </w:t>
      </w:r>
      <w:r>
        <w:rPr>
          <w:rFonts w:ascii="Times New Roman" w:eastAsia="Times New Roman" w:hAnsi="Times New Roman" w:cs="Times New Roman"/>
        </w:rPr>
        <w:t xml:space="preserve"> 14</w:t>
      </w:r>
      <w:proofErr w:type="gramEnd"/>
      <w:r>
        <w:rPr>
          <w:rFonts w:ascii="Times New Roman" w:eastAsia="Times New Roman" w:hAnsi="Times New Roman" w:cs="Times New Roman"/>
        </w:rPr>
        <w:t>-47 defines dwelling unit as</w:t>
      </w:r>
      <w:r>
        <w:t xml:space="preserve">: </w:t>
      </w:r>
      <w:r>
        <w:rPr>
          <w:rFonts w:ascii="Times New Roman" w:eastAsia="Times New Roman" w:hAnsi="Times New Roman" w:cs="Times New Roman"/>
          <w:i/>
        </w:rPr>
        <w:t>One (1) or more rooms with private bath and kitchen facilities comprising  an  independent  self-contained dwelling unit</w:t>
      </w:r>
      <w:r>
        <w:rPr>
          <w:rFonts w:ascii="Courier New" w:eastAsia="Courier New" w:hAnsi="Courier New" w:cs="Courier New"/>
          <w:i/>
        </w:rPr>
        <w:t xml:space="preserve">. </w:t>
      </w:r>
      <w:r>
        <w:rPr>
          <w:rFonts w:ascii="Times New Roman" w:eastAsia="Times New Roman" w:hAnsi="Times New Roman" w:cs="Times New Roman"/>
        </w:rPr>
        <w:t xml:space="preserve">The Ordinance also defines family as: </w:t>
      </w:r>
      <w:r>
        <w:rPr>
          <w:rFonts w:ascii="Times New Roman" w:eastAsia="Times New Roman" w:hAnsi="Times New Roman" w:cs="Times New Roman"/>
          <w:i/>
        </w:rPr>
        <w:t>Not more tha</w:t>
      </w:r>
      <w:r>
        <w:rPr>
          <w:rFonts w:ascii="Times New Roman" w:eastAsia="Times New Roman" w:hAnsi="Times New Roman" w:cs="Times New Roman"/>
          <w:i/>
        </w:rPr>
        <w:t>n sixteen (16) individuals living together in a dwelling unit as a single nonprofit housekeeping unit</w:t>
      </w:r>
      <w:r>
        <w:rPr>
          <w:rFonts w:ascii="Courier New" w:eastAsia="Courier New" w:hAnsi="Courier New" w:cs="Courier New"/>
        </w:rPr>
        <w:t xml:space="preserve"> </w:t>
      </w:r>
      <w:r>
        <w:rPr>
          <w:rFonts w:ascii="Times New Roman" w:eastAsia="Times New Roman" w:hAnsi="Times New Roman" w:cs="Times New Roman"/>
        </w:rPr>
        <w:t xml:space="preserve">(§ 14-47). </w:t>
      </w:r>
    </w:p>
    <w:p w:rsidR="00FC5142" w:rsidRDefault="00FC5142"/>
    <w:p w:rsidR="00FC5142" w:rsidRDefault="00525C7F">
      <w:r>
        <w:rPr>
          <w:rFonts w:ascii="Times New Roman" w:eastAsia="Times New Roman" w:hAnsi="Times New Roman" w:cs="Times New Roman"/>
        </w:rPr>
        <w:t xml:space="preserve">Attorney Bulger is correct in stating that § 14-47 does not define </w:t>
      </w:r>
      <w:proofErr w:type="spellStart"/>
      <w:r>
        <w:rPr>
          <w:rFonts w:ascii="Times New Roman" w:eastAsia="Times New Roman" w:hAnsi="Times New Roman" w:cs="Times New Roman"/>
        </w:rPr>
        <w:t>define</w:t>
      </w:r>
      <w:proofErr w:type="spellEnd"/>
      <w:r>
        <w:rPr>
          <w:rFonts w:ascii="Times New Roman" w:eastAsia="Times New Roman" w:hAnsi="Times New Roman" w:cs="Times New Roman"/>
        </w:rPr>
        <w:t xml:space="preserve"> the term “residential.” The definition section of the ordinance (§ </w:t>
      </w:r>
      <w:r>
        <w:rPr>
          <w:rFonts w:ascii="Times New Roman" w:eastAsia="Times New Roman" w:hAnsi="Times New Roman" w:cs="Times New Roman"/>
        </w:rPr>
        <w:t>14-47) does not define every word that is used within the ordinance. When a term is not specifically defined, we turn to zoning glossaries that are put out by various planning associations or a dictionary. In this case, I draw your attention to “</w:t>
      </w:r>
      <w:r>
        <w:rPr>
          <w:rFonts w:ascii="Times New Roman" w:eastAsia="Times New Roman" w:hAnsi="Times New Roman" w:cs="Times New Roman"/>
          <w:u w:val="single"/>
        </w:rPr>
        <w:t>A Glossary of Zoning, Development and Planning Terms”</w:t>
      </w:r>
      <w:r>
        <w:rPr>
          <w:rFonts w:ascii="Times New Roman" w:eastAsia="Times New Roman" w:hAnsi="Times New Roman" w:cs="Times New Roman"/>
        </w:rPr>
        <w:t xml:space="preserve"> published by the American Planning Association Planning Advisory Service which lists four different definitions of “residence” (Exhibit C). The fourth definition is similar to the definition of dwelling</w:t>
      </w:r>
      <w:r>
        <w:rPr>
          <w:rFonts w:ascii="Times New Roman" w:eastAsia="Times New Roman" w:hAnsi="Times New Roman" w:cs="Times New Roman"/>
        </w:rPr>
        <w:t xml:space="preserve"> in the Portland City Code. The second definition of residence is: “A home, abode or place where an individual is actually living at a specific point in time”.  The Third Edition of Webster’s II New College Dictionary (2005) defines </w:t>
      </w:r>
      <w:r>
        <w:rPr>
          <w:rFonts w:ascii="Times New Roman" w:eastAsia="Times New Roman" w:hAnsi="Times New Roman" w:cs="Times New Roman"/>
          <w:i/>
        </w:rPr>
        <w:t>reside</w:t>
      </w:r>
      <w:r>
        <w:rPr>
          <w:rFonts w:ascii="Times New Roman" w:eastAsia="Times New Roman" w:hAnsi="Times New Roman" w:cs="Times New Roman"/>
        </w:rPr>
        <w:t xml:space="preserve"> as “To live in a</w:t>
      </w:r>
      <w:r>
        <w:rPr>
          <w:rFonts w:ascii="Times New Roman" w:eastAsia="Times New Roman" w:hAnsi="Times New Roman" w:cs="Times New Roman"/>
        </w:rPr>
        <w:t xml:space="preserve"> place for a permanent or extended time”. Looking at these two definitions, and the City’s definition of dwelling, it is clear that a dwelling unit is to be used as a place where a person lives and not just visits for a short period of time.</w:t>
      </w:r>
    </w:p>
    <w:p w:rsidR="00FC5142" w:rsidRDefault="00FC5142"/>
    <w:p w:rsidR="00FC5142" w:rsidRDefault="00525C7F">
      <w:r>
        <w:rPr>
          <w:rFonts w:ascii="Times New Roman" w:eastAsia="Times New Roman" w:hAnsi="Times New Roman" w:cs="Times New Roman"/>
        </w:rPr>
        <w:t>The Ordinance</w:t>
      </w:r>
      <w:r>
        <w:rPr>
          <w:rFonts w:ascii="Times New Roman" w:eastAsia="Times New Roman" w:hAnsi="Times New Roman" w:cs="Times New Roman"/>
        </w:rPr>
        <w:t xml:space="preserve"> defines </w:t>
      </w:r>
      <w:r>
        <w:rPr>
          <w:rFonts w:ascii="Times New Roman" w:eastAsia="Times New Roman" w:hAnsi="Times New Roman" w:cs="Times New Roman"/>
          <w:i/>
        </w:rPr>
        <w:t>Transient Guest</w:t>
      </w:r>
      <w:r>
        <w:rPr>
          <w:rFonts w:ascii="Times New Roman" w:eastAsia="Times New Roman" w:hAnsi="Times New Roman" w:cs="Times New Roman"/>
        </w:rPr>
        <w:t xml:space="preserve"> as “A person who occupies a facility offering accommodations on an overnight basis for compensation and whose actual occupancy is limited to no more than fifteen (15) days out of any sixty-day period”. In § 14-47 of the Ordinance, </w:t>
      </w:r>
      <w:r>
        <w:rPr>
          <w:rFonts w:ascii="Times New Roman" w:eastAsia="Times New Roman" w:hAnsi="Times New Roman" w:cs="Times New Roman"/>
        </w:rPr>
        <w:t>the following uses specifically included the term transient guests in their definition: Bed and Breakfast, Hostel and Tourist Home. The term “more or less temporary occupancy of individuals” is used as part of the definition of hotel and inn. A motel is de</w:t>
      </w:r>
      <w:r>
        <w:rPr>
          <w:rFonts w:ascii="Times New Roman" w:eastAsia="Times New Roman" w:hAnsi="Times New Roman" w:cs="Times New Roman"/>
        </w:rPr>
        <w:t xml:space="preserve">fined as “to be used principally by automobile transients for compensation. Motels include tourist courts, motor lodges or cabins”. All of these uses are for short term stays and not a permanent residence. </w:t>
      </w:r>
    </w:p>
    <w:p w:rsidR="00FC5142" w:rsidRDefault="00FC5142"/>
    <w:p w:rsidR="00FC5142" w:rsidRDefault="00525C7F">
      <w:r>
        <w:rPr>
          <w:rFonts w:ascii="Times New Roman" w:eastAsia="Times New Roman" w:hAnsi="Times New Roman" w:cs="Times New Roman"/>
        </w:rPr>
        <w:t>481 Danforth Street is located in the R-4 Reside</w:t>
      </w:r>
      <w:r>
        <w:rPr>
          <w:rFonts w:ascii="Times New Roman" w:eastAsia="Times New Roman" w:hAnsi="Times New Roman" w:cs="Times New Roman"/>
        </w:rPr>
        <w:t>ntial Zone. Section 14-102 of the Ordinance lists the permitted uses allowed in the zone and Section 14-103 lists the Conditional Uses allowed in the zone (Exhibit D). Section 14-104, Prohibited Uses, states “Uses that are not expressly enumerated herein a</w:t>
      </w:r>
      <w:r>
        <w:rPr>
          <w:rFonts w:ascii="Times New Roman" w:eastAsia="Times New Roman" w:hAnsi="Times New Roman" w:cs="Times New Roman"/>
        </w:rPr>
        <w:t>s either permitted or conditional uses are prohibited”. Neither § 14-102 or § 14-103 list any of the short term uses listed in the previous paragraph as a permitted or conditional use in the R-4 Residential Zone. Since they are not listed in either section</w:t>
      </w:r>
      <w:r>
        <w:rPr>
          <w:rFonts w:ascii="Times New Roman" w:eastAsia="Times New Roman" w:hAnsi="Times New Roman" w:cs="Times New Roman"/>
        </w:rPr>
        <w:t xml:space="preserve"> they are not allowed in the zone. § 14-102(a) allows </w:t>
      </w:r>
      <w:r>
        <w:rPr>
          <w:rFonts w:ascii="Times New Roman" w:eastAsia="Times New Roman" w:hAnsi="Times New Roman" w:cs="Times New Roman"/>
        </w:rPr>
        <w:lastRenderedPageBreak/>
        <w:t>for “single-family detached dwellings” and “new construction of two-family dwellings”. § 14-103(b) allows for multiplex development of three or more dwelling units. The legal use of the property is thre</w:t>
      </w:r>
      <w:r>
        <w:rPr>
          <w:rFonts w:ascii="Times New Roman" w:eastAsia="Times New Roman" w:hAnsi="Times New Roman" w:cs="Times New Roman"/>
        </w:rPr>
        <w:t>e dwelling units.  Moreover, and as outlined above, because rental to or occupation by transient guests does not meet the well-established definition of a “residential use,” that use is not, as Attorney Bulger contends, permitted by implication in R-4.</w:t>
      </w:r>
    </w:p>
    <w:p w:rsidR="00FC5142" w:rsidRDefault="00FC5142"/>
    <w:p w:rsidR="00FC5142" w:rsidRDefault="00525C7F">
      <w:r>
        <w:rPr>
          <w:rFonts w:ascii="Times New Roman" w:eastAsia="Times New Roman" w:hAnsi="Times New Roman" w:cs="Times New Roman"/>
        </w:rPr>
        <w:t>In</w:t>
      </w:r>
      <w:r>
        <w:rPr>
          <w:rFonts w:ascii="Times New Roman" w:eastAsia="Times New Roman" w:hAnsi="Times New Roman" w:cs="Times New Roman"/>
        </w:rPr>
        <w:t xml:space="preserve"> his July 13, 2016 letter, Attorney Bulger “submits that for an owner occupied residence in the residential zone, a short term rental or guest stay is accessory to a residential use.” Section 14-102(b) does allow “Accessory uses customarily incidental and </w:t>
      </w:r>
      <w:r>
        <w:rPr>
          <w:rFonts w:ascii="Times New Roman" w:eastAsia="Times New Roman" w:hAnsi="Times New Roman" w:cs="Times New Roman"/>
        </w:rPr>
        <w:t>subordinate to the location, function, and operation of principal uses subject to the provisions of section 14-404 (accessory use) of this article” (Exhibit E). In the Zoning Administrator’s letter dated May 25, 2016, the violation related to a unit that w</w:t>
      </w:r>
      <w:r>
        <w:rPr>
          <w:rFonts w:ascii="Times New Roman" w:eastAsia="Times New Roman" w:hAnsi="Times New Roman" w:cs="Times New Roman"/>
        </w:rPr>
        <w:t>as being rented on a short-term basis and was not being occupied by the owner. That is, this unit that was being rented on a short-term basis and was not the owner’s residence but another unit within the building. Since the legal use of the building is thr</w:t>
      </w:r>
      <w:r>
        <w:rPr>
          <w:rFonts w:ascii="Times New Roman" w:eastAsia="Times New Roman" w:hAnsi="Times New Roman" w:cs="Times New Roman"/>
        </w:rPr>
        <w:t xml:space="preserve">ee dwelling units, and a dwelling unit is a permitted use under § 14-102, as a permitted or principal use, it cannot also be considered as an accessory use to the owner occupied unit within the building. The dwelling units that are not owner occupied must </w:t>
      </w:r>
      <w:r>
        <w:rPr>
          <w:rFonts w:ascii="Times New Roman" w:eastAsia="Times New Roman" w:hAnsi="Times New Roman" w:cs="Times New Roman"/>
        </w:rPr>
        <w:t xml:space="preserve">be rented as dwelling units not as short term rentals. </w:t>
      </w:r>
    </w:p>
    <w:p w:rsidR="00FC5142" w:rsidRDefault="00FC5142"/>
    <w:p w:rsidR="00FC5142" w:rsidRDefault="00525C7F">
      <w:r>
        <w:rPr>
          <w:rFonts w:ascii="Times New Roman" w:eastAsia="Times New Roman" w:hAnsi="Times New Roman" w:cs="Times New Roman"/>
        </w:rPr>
        <w:t>For all of the above reasons,</w:t>
      </w:r>
      <w:r>
        <w:rPr>
          <w:rFonts w:ascii="Times New Roman" w:eastAsia="Times New Roman" w:hAnsi="Times New Roman" w:cs="Times New Roman"/>
        </w:rPr>
        <w:t xml:space="preserve"> I feel that</w:t>
      </w:r>
      <w:r>
        <w:rPr>
          <w:rFonts w:ascii="Times New Roman" w:eastAsia="Times New Roman" w:hAnsi="Times New Roman" w:cs="Times New Roman"/>
        </w:rPr>
        <w:t xml:space="preserve"> the Notice of Violation issued in this matter was entirely consistent with the City Code and should be upheld by the Board.  </w:t>
      </w:r>
    </w:p>
    <w:sectPr w:rsidR="00FC5142">
      <w:headerReference w:type="default" r:id="rId7"/>
      <w:footerReference w:type="default" r:id="rId8"/>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5C7F">
      <w:r>
        <w:separator/>
      </w:r>
    </w:p>
  </w:endnote>
  <w:endnote w:type="continuationSeparator" w:id="0">
    <w:p w:rsidR="00000000" w:rsidRDefault="0052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42" w:rsidRDefault="00525C7F">
    <w:pPr>
      <w:tabs>
        <w:tab w:val="center" w:pos="4320"/>
        <w:tab w:val="right" w:pos="8640"/>
      </w:tabs>
      <w:ind w:left="270"/>
    </w:pPr>
    <w:r>
      <w:rPr>
        <w:sz w:val="16"/>
        <w:szCs w:val="16"/>
      </w:rPr>
      <w:t xml:space="preserve">389 Congress Street / Portland, Maine 04101 / </w:t>
    </w:r>
    <w:hyperlink r:id="rId1">
      <w:r>
        <w:rPr>
          <w:color w:val="0000FF"/>
          <w:sz w:val="16"/>
          <w:szCs w:val="16"/>
          <w:u w:val="single"/>
        </w:rPr>
        <w:t>www.portlandmaine.gov</w:t>
      </w:r>
    </w:hyperlink>
    <w:r>
      <w:rPr>
        <w:sz w:val="16"/>
        <w:szCs w:val="16"/>
      </w:rPr>
      <w:t xml:space="preserve"> / </w:t>
    </w:r>
    <w:proofErr w:type="spellStart"/>
    <w:r>
      <w:rPr>
        <w:sz w:val="16"/>
        <w:szCs w:val="16"/>
      </w:rPr>
      <w:t>tel</w:t>
    </w:r>
    <w:proofErr w:type="spellEnd"/>
    <w:r>
      <w:rPr>
        <w:sz w:val="16"/>
        <w:szCs w:val="16"/>
      </w:rPr>
      <w:t>:  207-874-8703 / fax:  207-874-8716</w:t>
    </w:r>
  </w:p>
  <w:p w:rsidR="00FC5142" w:rsidRDefault="00FC5142">
    <w:pPr>
      <w:tabs>
        <w:tab w:val="center" w:pos="4320"/>
        <w:tab w:val="right" w:pos="8640"/>
      </w:tabs>
      <w:spacing w:after="1152"/>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5C7F">
      <w:r>
        <w:separator/>
      </w:r>
    </w:p>
  </w:footnote>
  <w:footnote w:type="continuationSeparator" w:id="0">
    <w:p w:rsidR="00000000" w:rsidRDefault="00525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42" w:rsidRDefault="00525C7F">
    <w:pPr>
      <w:tabs>
        <w:tab w:val="left" w:pos="-900"/>
        <w:tab w:val="left" w:pos="0"/>
        <w:tab w:val="right" w:pos="8550"/>
      </w:tabs>
      <w:spacing w:before="446"/>
      <w:ind w:right="90"/>
    </w:pPr>
    <w:r>
      <w:rPr>
        <w:noProof/>
      </w:rPr>
      <w:drawing>
        <wp:inline distT="0" distB="0" distL="0" distR="0">
          <wp:extent cx="5488952" cy="6404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t="-1698" b="31655"/>
                  <a:stretch>
                    <a:fillRect/>
                  </a:stretch>
                </pic:blipFill>
                <pic:spPr>
                  <a:xfrm>
                    <a:off x="0" y="0"/>
                    <a:ext cx="5488952" cy="640452"/>
                  </a:xfrm>
                  <a:prstGeom prst="rect">
                    <a:avLst/>
                  </a:prstGeom>
                  <a:ln/>
                </pic:spPr>
              </pic:pic>
            </a:graphicData>
          </a:graphic>
        </wp:inline>
      </w:drawing>
    </w:r>
  </w:p>
  <w:p w:rsidR="00FC5142" w:rsidRDefault="00525C7F">
    <w:pPr>
      <w:jc w:val="center"/>
    </w:pPr>
    <w:r>
      <w:rPr>
        <w:rFonts w:ascii="Arial" w:eastAsia="Arial" w:hAnsi="Arial" w:cs="Arial"/>
        <w:sz w:val="19"/>
        <w:szCs w:val="19"/>
      </w:rPr>
      <w:t>Permitting and Inspections Department</w:t>
    </w:r>
  </w:p>
  <w:p w:rsidR="00FC5142" w:rsidRDefault="00525C7F">
    <w:pPr>
      <w:jc w:val="center"/>
    </w:pPr>
    <w:r>
      <w:rPr>
        <w:rFonts w:ascii="Arial" w:eastAsia="Arial" w:hAnsi="Arial" w:cs="Arial"/>
        <w:sz w:val="19"/>
        <w:szCs w:val="19"/>
      </w:rPr>
      <w:t>Michael A. Russell, MS, Director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5142"/>
    <w:rsid w:val="00525C7F"/>
    <w:rsid w:val="00FC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5C7F"/>
    <w:rPr>
      <w:rFonts w:ascii="Tahoma" w:hAnsi="Tahoma" w:cs="Tahoma"/>
      <w:sz w:val="16"/>
      <w:szCs w:val="16"/>
    </w:rPr>
  </w:style>
  <w:style w:type="character" w:customStyle="1" w:styleId="BalloonTextChar">
    <w:name w:val="Balloon Text Char"/>
    <w:basedOn w:val="DefaultParagraphFont"/>
    <w:link w:val="BalloonText"/>
    <w:uiPriority w:val="99"/>
    <w:semiHidden/>
    <w:rsid w:val="00525C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5C7F"/>
    <w:rPr>
      <w:rFonts w:ascii="Tahoma" w:hAnsi="Tahoma" w:cs="Tahoma"/>
      <w:sz w:val="16"/>
      <w:szCs w:val="16"/>
    </w:rPr>
  </w:style>
  <w:style w:type="character" w:customStyle="1" w:styleId="BalloonTextChar">
    <w:name w:val="Balloon Text Char"/>
    <w:basedOn w:val="DefaultParagraphFont"/>
    <w:link w:val="BalloonText"/>
    <w:uiPriority w:val="99"/>
    <w:semiHidden/>
    <w:rsid w:val="00525C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AMACHADO</dc:creator>
  <cp:lastModifiedBy>AMACHADO</cp:lastModifiedBy>
  <cp:revision>2</cp:revision>
  <dcterms:created xsi:type="dcterms:W3CDTF">2016-07-19T19:40:00Z</dcterms:created>
  <dcterms:modified xsi:type="dcterms:W3CDTF">2016-07-19T19:40:00Z</dcterms:modified>
</cp:coreProperties>
</file>