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47D3" w14:textId="77777777" w:rsidR="00E87414" w:rsidRPr="00F87DCA" w:rsidRDefault="00E87414" w:rsidP="00E87414">
      <w:pPr>
        <w:pBdr>
          <w:bottom w:val="single" w:sz="4" w:space="1" w:color="auto"/>
        </w:pBdr>
        <w:rPr>
          <w:rFonts w:ascii="FreightSans Pro Book" w:hAnsi="FreightSans Pro Book"/>
          <w:b/>
          <w:sz w:val="21"/>
          <w:szCs w:val="21"/>
        </w:rPr>
      </w:pPr>
      <w:r w:rsidRPr="00F87DCA">
        <w:rPr>
          <w:rFonts w:ascii="FreightSans Pro Book" w:hAnsi="FreightSans Pro Book"/>
          <w:b/>
          <w:sz w:val="21"/>
          <w:szCs w:val="21"/>
        </w:rPr>
        <w:t>MMC ONGOING ITEMS</w:t>
      </w:r>
    </w:p>
    <w:tbl>
      <w:tblPr>
        <w:tblStyle w:val="TableGrid"/>
        <w:tblpPr w:leftFromText="180" w:rightFromText="180" w:vertAnchor="text" w:horzAnchor="margin" w:tblpY="493"/>
        <w:tblW w:w="10435" w:type="dxa"/>
        <w:tblLook w:val="04A0" w:firstRow="1" w:lastRow="0" w:firstColumn="1" w:lastColumn="0" w:noHBand="0" w:noVBand="1"/>
      </w:tblPr>
      <w:tblGrid>
        <w:gridCol w:w="2425"/>
        <w:gridCol w:w="2678"/>
        <w:gridCol w:w="2722"/>
        <w:gridCol w:w="2610"/>
      </w:tblGrid>
      <w:tr w:rsidR="00F87DCA" w:rsidRPr="00F87DCA" w14:paraId="05B0CB30" w14:textId="77777777" w:rsidTr="00F87DCA">
        <w:tc>
          <w:tcPr>
            <w:tcW w:w="2425" w:type="dxa"/>
          </w:tcPr>
          <w:p w14:paraId="4D4F2743" w14:textId="77777777" w:rsidR="00F87DCA" w:rsidRPr="00F87DCA" w:rsidRDefault="00F87DCA" w:rsidP="00F87DCA">
            <w:pPr>
              <w:rPr>
                <w:rFonts w:ascii="FreightSans Pro Book" w:hAnsi="FreightSans Pro Book"/>
                <w:b/>
                <w:color w:val="FF0000"/>
                <w:sz w:val="21"/>
                <w:szCs w:val="21"/>
              </w:rPr>
            </w:pPr>
            <w:r w:rsidRPr="00F87DCA">
              <w:rPr>
                <w:rFonts w:ascii="FreightSans Pro Book" w:hAnsi="FreightSans Pro Book"/>
                <w:b/>
                <w:sz w:val="21"/>
                <w:szCs w:val="21"/>
              </w:rPr>
              <w:t xml:space="preserve">Investment Genesis </w:t>
            </w:r>
          </w:p>
        </w:tc>
        <w:tc>
          <w:tcPr>
            <w:tcW w:w="2678" w:type="dxa"/>
          </w:tcPr>
          <w:p w14:paraId="70A204C3" w14:textId="77777777" w:rsidR="00F87DCA" w:rsidRPr="00F87DCA" w:rsidRDefault="00F87DCA" w:rsidP="00F87DCA">
            <w:pPr>
              <w:rPr>
                <w:rFonts w:ascii="FreightSans Pro Book" w:hAnsi="FreightSans Pro Book"/>
                <w:b/>
                <w:sz w:val="21"/>
                <w:szCs w:val="21"/>
              </w:rPr>
            </w:pPr>
            <w:r w:rsidRPr="00F87DCA">
              <w:rPr>
                <w:rFonts w:ascii="FreightSans Pro Book" w:hAnsi="FreightSans Pro Book"/>
                <w:b/>
                <w:sz w:val="21"/>
                <w:szCs w:val="21"/>
              </w:rPr>
              <w:t>Investment</w:t>
            </w:r>
          </w:p>
        </w:tc>
        <w:tc>
          <w:tcPr>
            <w:tcW w:w="2722" w:type="dxa"/>
          </w:tcPr>
          <w:p w14:paraId="129D9B5D" w14:textId="77777777" w:rsidR="00F87DCA" w:rsidRPr="00F87DCA" w:rsidRDefault="00F87DCA" w:rsidP="00F87DCA">
            <w:pPr>
              <w:rPr>
                <w:rFonts w:ascii="FreightSans Pro Book" w:hAnsi="FreightSans Pro Book"/>
                <w:b/>
                <w:sz w:val="21"/>
                <w:szCs w:val="21"/>
              </w:rPr>
            </w:pPr>
            <w:r w:rsidRPr="00F87DCA">
              <w:rPr>
                <w:rFonts w:ascii="FreightSans Pro Book" w:hAnsi="FreightSans Pro Book"/>
                <w:b/>
                <w:sz w:val="21"/>
                <w:szCs w:val="21"/>
              </w:rPr>
              <w:t>Amount</w:t>
            </w:r>
          </w:p>
        </w:tc>
        <w:tc>
          <w:tcPr>
            <w:tcW w:w="2610" w:type="dxa"/>
          </w:tcPr>
          <w:p w14:paraId="435DEF44" w14:textId="77777777" w:rsidR="00F87DCA" w:rsidRPr="00F87DCA" w:rsidRDefault="00F87DCA" w:rsidP="00F87DCA">
            <w:pPr>
              <w:rPr>
                <w:rFonts w:ascii="FreightSans Pro Book" w:hAnsi="FreightSans Pro Book"/>
                <w:b/>
                <w:sz w:val="21"/>
                <w:szCs w:val="21"/>
              </w:rPr>
            </w:pPr>
            <w:r w:rsidRPr="00F87DCA">
              <w:rPr>
                <w:rFonts w:ascii="FreightSans Pro Book" w:hAnsi="FreightSans Pro Book"/>
                <w:b/>
                <w:sz w:val="21"/>
                <w:szCs w:val="21"/>
              </w:rPr>
              <w:t>Staff</w:t>
            </w:r>
          </w:p>
        </w:tc>
      </w:tr>
      <w:tr w:rsidR="00F87DCA" w:rsidRPr="00F87DCA" w14:paraId="469E7460" w14:textId="77777777" w:rsidTr="00F87DCA">
        <w:tc>
          <w:tcPr>
            <w:tcW w:w="2425" w:type="dxa"/>
          </w:tcPr>
          <w:p w14:paraId="6A6FAEDA" w14:textId="77777777" w:rsidR="00F87DCA" w:rsidRPr="00F87DCA" w:rsidRDefault="00F87DCA" w:rsidP="00F87DCA">
            <w:pPr>
              <w:rPr>
                <w:rFonts w:ascii="FreightSans Pro Book" w:hAnsi="FreightSans Pro Book"/>
                <w:color w:val="FF0000"/>
                <w:sz w:val="21"/>
                <w:szCs w:val="21"/>
              </w:rPr>
            </w:pPr>
            <w:r w:rsidRPr="00F87DCA">
              <w:rPr>
                <w:rFonts w:ascii="FreightSans Pro Book" w:hAnsi="FreightSans Pro Book"/>
                <w:color w:val="FF0000"/>
                <w:sz w:val="21"/>
                <w:szCs w:val="21"/>
              </w:rPr>
              <w:t>Institutional Overlay Zoning</w:t>
            </w:r>
            <w:r w:rsidRPr="00F87DCA">
              <w:rPr>
                <w:rStyle w:val="FootnoteReference"/>
                <w:rFonts w:ascii="FreightSans Pro Book" w:hAnsi="FreightSans Pro Book"/>
                <w:color w:val="FF0000"/>
                <w:sz w:val="21"/>
                <w:szCs w:val="21"/>
              </w:rPr>
              <w:footnoteReference w:id="1"/>
            </w:r>
            <w:r w:rsidRPr="00F87DCA">
              <w:rPr>
                <w:rFonts w:ascii="FreightSans Pro Book" w:hAnsi="FreightSans Pro Book"/>
                <w:color w:val="FF0000"/>
                <w:sz w:val="21"/>
                <w:szCs w:val="21"/>
              </w:rPr>
              <w:t xml:space="preserve"> </w:t>
            </w:r>
          </w:p>
        </w:tc>
        <w:tc>
          <w:tcPr>
            <w:tcW w:w="2678" w:type="dxa"/>
          </w:tcPr>
          <w:p w14:paraId="5993C6CC"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Healthy Neighborhoods Program aka MOU</w:t>
            </w:r>
          </w:p>
          <w:p w14:paraId="153E65A4" w14:textId="77777777" w:rsidR="00F87DCA" w:rsidRPr="00F87DCA" w:rsidRDefault="00F87DCA" w:rsidP="00F87DCA">
            <w:pPr>
              <w:rPr>
                <w:rFonts w:ascii="FreightSans Pro Book" w:hAnsi="FreightSans Pro Book"/>
                <w:sz w:val="21"/>
                <w:szCs w:val="21"/>
              </w:rPr>
            </w:pPr>
          </w:p>
          <w:p w14:paraId="15CDFCC7" w14:textId="77777777" w:rsidR="00F87DCA" w:rsidRPr="00F87DCA" w:rsidRDefault="00F87DCA" w:rsidP="00F87DCA">
            <w:pPr>
              <w:rPr>
                <w:rFonts w:ascii="FreightSans Pro Book" w:hAnsi="FreightSans Pro Book"/>
                <w:sz w:val="21"/>
                <w:szCs w:val="21"/>
              </w:rPr>
            </w:pPr>
          </w:p>
          <w:p w14:paraId="1A671A9D" w14:textId="77777777" w:rsidR="00F87DCA" w:rsidRPr="00F87DCA" w:rsidRDefault="00F87DCA" w:rsidP="00F87DCA">
            <w:pPr>
              <w:rPr>
                <w:rFonts w:ascii="FreightSans Pro Book" w:hAnsi="FreightSans Pro Book"/>
                <w:sz w:val="21"/>
                <w:szCs w:val="21"/>
              </w:rPr>
            </w:pPr>
          </w:p>
        </w:tc>
        <w:tc>
          <w:tcPr>
            <w:tcW w:w="2722" w:type="dxa"/>
          </w:tcPr>
          <w:p w14:paraId="0074B4FB"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TBD anticipated total $500-800 k investment over x years to start-up of Healthy Neighborhoods partnership. Programs for MMC area neighborhoods for housing creation, housing rehab, job training and/or community health.</w:t>
            </w:r>
          </w:p>
        </w:tc>
        <w:tc>
          <w:tcPr>
            <w:tcW w:w="2610" w:type="dxa"/>
          </w:tcPr>
          <w:p w14:paraId="184FC0A7"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Housing replacement ($50+K/unit x 18 units = $900K) to HNHF</w:t>
            </w:r>
          </w:p>
        </w:tc>
      </w:tr>
      <w:tr w:rsidR="00F87DCA" w:rsidRPr="00F87DCA" w14:paraId="7E444092" w14:textId="77777777" w:rsidTr="00F87DCA">
        <w:tc>
          <w:tcPr>
            <w:tcW w:w="2425" w:type="dxa"/>
          </w:tcPr>
          <w:p w14:paraId="47E36493" w14:textId="77777777" w:rsidR="00F87DCA" w:rsidRPr="00F87DCA" w:rsidRDefault="00F87DCA" w:rsidP="00F87DCA">
            <w:pPr>
              <w:rPr>
                <w:rFonts w:ascii="FreightSans Pro Book" w:hAnsi="FreightSans Pro Book"/>
                <w:color w:val="FF0000"/>
                <w:sz w:val="21"/>
                <w:szCs w:val="21"/>
              </w:rPr>
            </w:pPr>
            <w:r w:rsidRPr="00F87DCA">
              <w:rPr>
                <w:rFonts w:ascii="FreightSans Pro Book" w:hAnsi="FreightSans Pro Book"/>
                <w:color w:val="FF0000"/>
                <w:sz w:val="21"/>
                <w:szCs w:val="21"/>
              </w:rPr>
              <w:t>Institutional Overlay Zoning</w:t>
            </w:r>
            <w:r w:rsidRPr="00F87DCA">
              <w:rPr>
                <w:rStyle w:val="FootnoteReference"/>
                <w:rFonts w:ascii="FreightSans Pro Book" w:hAnsi="FreightSans Pro Book"/>
                <w:color w:val="FF0000"/>
                <w:sz w:val="21"/>
                <w:szCs w:val="21"/>
              </w:rPr>
              <w:footnoteReference w:id="2"/>
            </w:r>
          </w:p>
        </w:tc>
        <w:tc>
          <w:tcPr>
            <w:tcW w:w="2678" w:type="dxa"/>
          </w:tcPr>
          <w:p w14:paraId="79962787"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 xml:space="preserve">Caring Community Grants </w:t>
            </w:r>
            <w:proofErr w:type="gramStart"/>
            <w:r w:rsidRPr="00F87DCA">
              <w:rPr>
                <w:rFonts w:ascii="FreightSans Pro Book" w:hAnsi="FreightSans Pro Book"/>
                <w:sz w:val="21"/>
                <w:szCs w:val="21"/>
              </w:rPr>
              <w:t>aka</w:t>
            </w:r>
            <w:proofErr w:type="gramEnd"/>
            <w:r w:rsidRPr="00F87DCA">
              <w:rPr>
                <w:rFonts w:ascii="FreightSans Pro Book" w:hAnsi="FreightSans Pro Book"/>
                <w:sz w:val="21"/>
                <w:szCs w:val="21"/>
              </w:rPr>
              <w:t xml:space="preserve"> Grants</w:t>
            </w:r>
          </w:p>
        </w:tc>
        <w:tc>
          <w:tcPr>
            <w:tcW w:w="2722" w:type="dxa"/>
          </w:tcPr>
          <w:p w14:paraId="107754DD"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$30,000 per year to Neighborhood Assoc or related entity working in the five neighborhoods. Distributed by Neighborhood Advisory Committee (allowable uses enumerated in ch.14)</w:t>
            </w:r>
          </w:p>
        </w:tc>
        <w:tc>
          <w:tcPr>
            <w:tcW w:w="2610" w:type="dxa"/>
          </w:tcPr>
          <w:p w14:paraId="4CFF6EA3" w14:textId="77777777" w:rsidR="00F87DCA" w:rsidRPr="00F87DCA" w:rsidRDefault="00F87DCA" w:rsidP="00F87DCA">
            <w:pPr>
              <w:rPr>
                <w:rFonts w:ascii="FreightSans Pro Book" w:hAnsi="FreightSans Pro Book"/>
                <w:sz w:val="21"/>
                <w:szCs w:val="21"/>
              </w:rPr>
            </w:pPr>
          </w:p>
        </w:tc>
      </w:tr>
      <w:tr w:rsidR="00F87DCA" w:rsidRPr="00F87DCA" w14:paraId="3AF55BC6" w14:textId="77777777" w:rsidTr="00F87DCA">
        <w:tc>
          <w:tcPr>
            <w:tcW w:w="2425" w:type="dxa"/>
          </w:tcPr>
          <w:p w14:paraId="1B6E2DAF" w14:textId="77777777" w:rsidR="00F87DCA" w:rsidRPr="00F87DCA" w:rsidRDefault="00F87DCA" w:rsidP="00F87DCA">
            <w:pPr>
              <w:rPr>
                <w:rFonts w:ascii="FreightSans Pro Book" w:hAnsi="FreightSans Pro Book"/>
                <w:color w:val="1F3864" w:themeColor="accent1" w:themeShade="80"/>
                <w:sz w:val="21"/>
                <w:szCs w:val="21"/>
              </w:rPr>
            </w:pPr>
            <w:r w:rsidRPr="00F87DCA">
              <w:rPr>
                <w:rFonts w:ascii="FreightSans Pro Book" w:hAnsi="FreightSans Pro Book"/>
                <w:color w:val="1F3864" w:themeColor="accent1" w:themeShade="80"/>
                <w:sz w:val="21"/>
                <w:szCs w:val="21"/>
              </w:rPr>
              <w:t xml:space="preserve">Current Expansion Project Community Benefit Agreement (related to Expansion Project) </w:t>
            </w:r>
          </w:p>
        </w:tc>
        <w:tc>
          <w:tcPr>
            <w:tcW w:w="2678" w:type="dxa"/>
          </w:tcPr>
          <w:p w14:paraId="6CDB43CD"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St. John Valley St Playground/Basketball Courts aka CBA</w:t>
            </w:r>
          </w:p>
        </w:tc>
        <w:tc>
          <w:tcPr>
            <w:tcW w:w="2722" w:type="dxa"/>
          </w:tcPr>
          <w:p w14:paraId="32C4F647"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$100,000</w:t>
            </w:r>
          </w:p>
        </w:tc>
        <w:tc>
          <w:tcPr>
            <w:tcW w:w="2610" w:type="dxa"/>
          </w:tcPr>
          <w:p w14:paraId="4928BD5C"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Ethan (following on CDBG application)</w:t>
            </w:r>
          </w:p>
        </w:tc>
      </w:tr>
      <w:tr w:rsidR="00F87DCA" w:rsidRPr="00F87DCA" w14:paraId="79AEDCA9" w14:textId="77777777" w:rsidTr="00F87DCA">
        <w:tc>
          <w:tcPr>
            <w:tcW w:w="2425" w:type="dxa"/>
          </w:tcPr>
          <w:p w14:paraId="71CE7D3D" w14:textId="77777777" w:rsidR="00F87DCA" w:rsidRPr="00F87DCA" w:rsidRDefault="00F87DCA" w:rsidP="00F87DCA">
            <w:pPr>
              <w:rPr>
                <w:rFonts w:ascii="FreightSans Pro Book" w:hAnsi="FreightSans Pro Book"/>
                <w:color w:val="1F3864" w:themeColor="accent1" w:themeShade="80"/>
                <w:sz w:val="21"/>
                <w:szCs w:val="21"/>
              </w:rPr>
            </w:pPr>
            <w:r w:rsidRPr="00F87DCA">
              <w:rPr>
                <w:rFonts w:ascii="FreightSans Pro Book" w:hAnsi="FreightSans Pro Book"/>
                <w:color w:val="1F3864" w:themeColor="accent1" w:themeShade="80"/>
                <w:sz w:val="21"/>
                <w:szCs w:val="21"/>
              </w:rPr>
              <w:t>Current Expansion Project Community Benefit Agreement (same)</w:t>
            </w:r>
          </w:p>
        </w:tc>
        <w:tc>
          <w:tcPr>
            <w:tcW w:w="2678" w:type="dxa"/>
          </w:tcPr>
          <w:p w14:paraId="19A783D9"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Western Prom Infrastructure aka CBA</w:t>
            </w:r>
          </w:p>
        </w:tc>
        <w:tc>
          <w:tcPr>
            <w:tcW w:w="2722" w:type="dxa"/>
          </w:tcPr>
          <w:p w14:paraId="4A79EAE2"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$100,000</w:t>
            </w:r>
          </w:p>
        </w:tc>
        <w:tc>
          <w:tcPr>
            <w:tcW w:w="2610" w:type="dxa"/>
          </w:tcPr>
          <w:p w14:paraId="4234ABC8"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Deb, Ethan (through Master Plan)</w:t>
            </w:r>
          </w:p>
        </w:tc>
      </w:tr>
      <w:tr w:rsidR="00F87DCA" w:rsidRPr="00F87DCA" w14:paraId="41F5E354" w14:textId="77777777" w:rsidTr="00F87DCA">
        <w:tc>
          <w:tcPr>
            <w:tcW w:w="2425" w:type="dxa"/>
          </w:tcPr>
          <w:p w14:paraId="44544AC3" w14:textId="77777777" w:rsidR="00F87DCA" w:rsidRPr="00F87DCA" w:rsidRDefault="00F87DCA" w:rsidP="00F87DCA">
            <w:pPr>
              <w:rPr>
                <w:rFonts w:ascii="FreightSans Pro Book" w:hAnsi="FreightSans Pro Book"/>
                <w:color w:val="1F3864" w:themeColor="accent1" w:themeShade="80"/>
                <w:sz w:val="21"/>
                <w:szCs w:val="21"/>
              </w:rPr>
            </w:pPr>
            <w:r w:rsidRPr="00F87DCA">
              <w:rPr>
                <w:rFonts w:ascii="FreightSans Pro Book" w:hAnsi="FreightSans Pro Book"/>
                <w:color w:val="1F3864" w:themeColor="accent1" w:themeShade="80"/>
                <w:sz w:val="21"/>
                <w:szCs w:val="21"/>
              </w:rPr>
              <w:t>Current Expansion Project Community Benefit Agreement (same)</w:t>
            </w:r>
          </w:p>
        </w:tc>
        <w:tc>
          <w:tcPr>
            <w:tcW w:w="2678" w:type="dxa"/>
          </w:tcPr>
          <w:p w14:paraId="70C4EEFB"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Bramhall Square Rebuild aka CBA</w:t>
            </w:r>
          </w:p>
        </w:tc>
        <w:tc>
          <w:tcPr>
            <w:tcW w:w="2722" w:type="dxa"/>
          </w:tcPr>
          <w:p w14:paraId="4E1112B6"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$100,000</w:t>
            </w:r>
          </w:p>
        </w:tc>
        <w:tc>
          <w:tcPr>
            <w:tcW w:w="2610" w:type="dxa"/>
          </w:tcPr>
          <w:p w14:paraId="0007AFF4"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Ethan, Deb, Spencer</w:t>
            </w:r>
          </w:p>
        </w:tc>
      </w:tr>
      <w:tr w:rsidR="00F87DCA" w:rsidRPr="00F87DCA" w14:paraId="3DB2A24E" w14:textId="77777777" w:rsidTr="00F87DCA">
        <w:tc>
          <w:tcPr>
            <w:tcW w:w="2425" w:type="dxa"/>
          </w:tcPr>
          <w:p w14:paraId="111EF67F" w14:textId="77777777" w:rsidR="00F87DCA" w:rsidRPr="00F87DCA" w:rsidRDefault="00F87DCA" w:rsidP="00F87DCA">
            <w:pPr>
              <w:rPr>
                <w:rFonts w:ascii="FreightSans Pro Book" w:hAnsi="FreightSans Pro Book"/>
                <w:color w:val="1F3864" w:themeColor="accent1" w:themeShade="80"/>
                <w:sz w:val="21"/>
                <w:szCs w:val="21"/>
              </w:rPr>
            </w:pPr>
            <w:r w:rsidRPr="00F87DCA">
              <w:rPr>
                <w:rFonts w:ascii="FreightSans Pro Book" w:hAnsi="FreightSans Pro Book"/>
                <w:color w:val="1F3864" w:themeColor="accent1" w:themeShade="80"/>
                <w:sz w:val="21"/>
                <w:szCs w:val="21"/>
              </w:rPr>
              <w:t>Current Expansion Project (St. John garage condition of approval)</w:t>
            </w:r>
          </w:p>
        </w:tc>
        <w:tc>
          <w:tcPr>
            <w:tcW w:w="2678" w:type="dxa"/>
          </w:tcPr>
          <w:p w14:paraId="6BE3133E"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color w:val="1F3864" w:themeColor="accent1" w:themeShade="80"/>
                <w:sz w:val="21"/>
                <w:szCs w:val="21"/>
              </w:rPr>
              <w:t>Western Promenade trail improvements</w:t>
            </w:r>
          </w:p>
        </w:tc>
        <w:tc>
          <w:tcPr>
            <w:tcW w:w="2722" w:type="dxa"/>
          </w:tcPr>
          <w:p w14:paraId="016618B4"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$50,000</w:t>
            </w:r>
          </w:p>
        </w:tc>
        <w:tc>
          <w:tcPr>
            <w:tcW w:w="2610" w:type="dxa"/>
          </w:tcPr>
          <w:p w14:paraId="44CE6983"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Ethan, Deb (following on Western Prom plan)</w:t>
            </w:r>
          </w:p>
        </w:tc>
      </w:tr>
      <w:tr w:rsidR="00F87DCA" w:rsidRPr="00F87DCA" w14:paraId="2A6C82F6" w14:textId="77777777" w:rsidTr="00F87DCA">
        <w:tc>
          <w:tcPr>
            <w:tcW w:w="2425" w:type="dxa"/>
          </w:tcPr>
          <w:p w14:paraId="090955DE" w14:textId="77777777" w:rsidR="00F87DCA" w:rsidRPr="00F87DCA" w:rsidRDefault="00F87DCA" w:rsidP="00F87DCA">
            <w:pPr>
              <w:rPr>
                <w:rFonts w:ascii="FreightSans Pro Book" w:hAnsi="FreightSans Pro Book"/>
                <w:color w:val="1F3864" w:themeColor="accent1" w:themeShade="80"/>
                <w:sz w:val="21"/>
                <w:szCs w:val="21"/>
              </w:rPr>
            </w:pPr>
            <w:r w:rsidRPr="00F87DCA">
              <w:rPr>
                <w:rFonts w:ascii="FreightSans Pro Book" w:hAnsi="FreightSans Pro Book"/>
                <w:color w:val="1F3864" w:themeColor="accent1" w:themeShade="80"/>
                <w:sz w:val="21"/>
                <w:szCs w:val="21"/>
              </w:rPr>
              <w:t>Current Expansion Project Community Benefit (completed not part of CBA)</w:t>
            </w:r>
          </w:p>
        </w:tc>
        <w:tc>
          <w:tcPr>
            <w:tcW w:w="2678" w:type="dxa"/>
          </w:tcPr>
          <w:p w14:paraId="462FDCB8"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Bramhall Square Holiday Lights (installed)</w:t>
            </w:r>
          </w:p>
        </w:tc>
        <w:tc>
          <w:tcPr>
            <w:tcW w:w="2722" w:type="dxa"/>
          </w:tcPr>
          <w:p w14:paraId="35336C17" w14:textId="77777777" w:rsidR="00F87DCA" w:rsidRPr="00F87DCA" w:rsidRDefault="00F87DCA" w:rsidP="00F87DCA">
            <w:pPr>
              <w:rPr>
                <w:rFonts w:ascii="FreightSans Pro Book" w:hAnsi="FreightSans Pro Book"/>
                <w:sz w:val="21"/>
                <w:szCs w:val="21"/>
              </w:rPr>
            </w:pPr>
            <w:r w:rsidRPr="00F87DCA">
              <w:rPr>
                <w:rFonts w:ascii="FreightSans Pro Book" w:hAnsi="FreightSans Pro Book"/>
                <w:sz w:val="21"/>
                <w:szCs w:val="21"/>
              </w:rPr>
              <w:t>$6,000</w:t>
            </w:r>
          </w:p>
        </w:tc>
        <w:tc>
          <w:tcPr>
            <w:tcW w:w="2610" w:type="dxa"/>
          </w:tcPr>
          <w:p w14:paraId="10C681C1" w14:textId="77777777" w:rsidR="00F87DCA" w:rsidRPr="00F87DCA" w:rsidRDefault="00F87DCA" w:rsidP="00F87DCA">
            <w:pPr>
              <w:rPr>
                <w:rFonts w:ascii="FreightSans Pro Book" w:hAnsi="FreightSans Pro Book"/>
                <w:sz w:val="21"/>
                <w:szCs w:val="21"/>
              </w:rPr>
            </w:pPr>
          </w:p>
        </w:tc>
      </w:tr>
    </w:tbl>
    <w:p w14:paraId="70BAC0E2" w14:textId="1898BFF8" w:rsidR="006414CA" w:rsidRPr="002112B3" w:rsidRDefault="00E663FF">
      <w:pPr>
        <w:rPr>
          <w:rFonts w:ascii="FreightSans Pro Book" w:hAnsi="FreightSans Pro Book"/>
          <w:b/>
          <w:caps/>
          <w:sz w:val="21"/>
          <w:szCs w:val="21"/>
        </w:rPr>
      </w:pPr>
      <w:r w:rsidRPr="002112B3">
        <w:rPr>
          <w:rFonts w:ascii="FreightSans Pro Book" w:hAnsi="FreightSans Pro Book"/>
          <w:b/>
          <w:caps/>
          <w:sz w:val="21"/>
          <w:szCs w:val="21"/>
        </w:rPr>
        <w:t>MMC Community Investment Approach</w:t>
      </w:r>
      <w:r w:rsidR="00341402" w:rsidRPr="002112B3">
        <w:rPr>
          <w:rFonts w:ascii="FreightSans Pro Book" w:hAnsi="FreightSans Pro Book"/>
          <w:b/>
          <w:caps/>
          <w:sz w:val="21"/>
          <w:szCs w:val="21"/>
        </w:rPr>
        <w:t xml:space="preserve"> related to IOZ adoption and Expansion Project</w:t>
      </w:r>
    </w:p>
    <w:p w14:paraId="7645DC47" w14:textId="439D23C1" w:rsidR="00E31BEE" w:rsidRPr="00F87DCA" w:rsidRDefault="00E31BEE">
      <w:pPr>
        <w:rPr>
          <w:rFonts w:ascii="FreightSans Pro Book" w:hAnsi="FreightSans Pro Book"/>
          <w:sz w:val="21"/>
          <w:szCs w:val="21"/>
        </w:rPr>
      </w:pPr>
      <w:r w:rsidRPr="00F87DCA">
        <w:rPr>
          <w:rFonts w:ascii="FreightSans Pro Book" w:hAnsi="FreightSans Pro Book"/>
          <w:sz w:val="21"/>
          <w:szCs w:val="21"/>
        </w:rPr>
        <w:lastRenderedPageBreak/>
        <w:t xml:space="preserve">Items in </w:t>
      </w:r>
      <w:r w:rsidRPr="00F87DCA">
        <w:rPr>
          <w:rFonts w:ascii="FreightSans Pro Book" w:hAnsi="FreightSans Pro Book"/>
          <w:color w:val="C00000"/>
          <w:sz w:val="21"/>
          <w:szCs w:val="21"/>
        </w:rPr>
        <w:t>Red</w:t>
      </w:r>
      <w:r w:rsidRPr="00F87DCA">
        <w:rPr>
          <w:rFonts w:ascii="FreightSans Pro Book" w:hAnsi="FreightSans Pro Book"/>
          <w:sz w:val="21"/>
          <w:szCs w:val="21"/>
        </w:rPr>
        <w:t xml:space="preserve">- Are requirements of the IOZ Zoning change/ Items in </w:t>
      </w:r>
      <w:r w:rsidRPr="00F87DCA">
        <w:rPr>
          <w:rFonts w:ascii="FreightSans Pro Book" w:hAnsi="FreightSans Pro Book"/>
          <w:color w:val="0070C0"/>
          <w:sz w:val="21"/>
          <w:szCs w:val="21"/>
        </w:rPr>
        <w:t>Blue</w:t>
      </w:r>
      <w:r w:rsidR="008F7EB5" w:rsidRPr="00F87DCA">
        <w:rPr>
          <w:rFonts w:ascii="FreightSans Pro Book" w:hAnsi="FreightSans Pro Book"/>
          <w:color w:val="0070C0"/>
          <w:sz w:val="21"/>
          <w:szCs w:val="21"/>
        </w:rPr>
        <w:t>-</w:t>
      </w:r>
      <w:r w:rsidRPr="00F87DCA">
        <w:rPr>
          <w:rFonts w:ascii="FreightSans Pro Book" w:hAnsi="FreightSans Pro Book"/>
          <w:sz w:val="21"/>
          <w:szCs w:val="21"/>
        </w:rPr>
        <w:t xml:space="preserve"> are tied to the curren</w:t>
      </w:r>
      <w:r w:rsidR="008F7EB5" w:rsidRPr="00F87DCA">
        <w:rPr>
          <w:rFonts w:ascii="FreightSans Pro Book" w:hAnsi="FreightSans Pro Book"/>
          <w:sz w:val="21"/>
          <w:szCs w:val="21"/>
        </w:rPr>
        <w:t>t</w:t>
      </w:r>
      <w:r w:rsidRPr="00F87DCA">
        <w:rPr>
          <w:rFonts w:ascii="FreightSans Pro Book" w:hAnsi="FreightSans Pro Book"/>
          <w:sz w:val="21"/>
          <w:szCs w:val="21"/>
        </w:rPr>
        <w:t xml:space="preserve"> Expansion Project</w:t>
      </w:r>
      <w:r w:rsidR="00DD564E" w:rsidRPr="00F87DCA">
        <w:rPr>
          <w:rFonts w:ascii="FreightSans Pro Book" w:hAnsi="FreightSans Pro Book"/>
          <w:sz w:val="21"/>
          <w:szCs w:val="21"/>
        </w:rPr>
        <w:t xml:space="preserve"> commitments between City, Neighborhood Assoc. and MMC</w:t>
      </w:r>
    </w:p>
    <w:p w14:paraId="43B08A2D" w14:textId="270E3533" w:rsidR="00E87414" w:rsidRPr="00F87DCA" w:rsidRDefault="00E87414">
      <w:pPr>
        <w:rPr>
          <w:rFonts w:ascii="FreightSans Pro Book" w:hAnsi="FreightSans Pro Book"/>
          <w:b/>
          <w:sz w:val="21"/>
          <w:szCs w:val="21"/>
        </w:rPr>
      </w:pPr>
      <w:r w:rsidRPr="002112B3">
        <w:rPr>
          <w:rFonts w:ascii="FreightSans Pro Book" w:hAnsi="FreightSans Pro Book"/>
          <w:b/>
          <w:caps/>
          <w:sz w:val="21"/>
          <w:szCs w:val="21"/>
        </w:rPr>
        <w:t>West End Traffic Work</w:t>
      </w:r>
      <w:r w:rsidRPr="00F87DCA">
        <w:rPr>
          <w:rFonts w:ascii="FreightSans Pro Book" w:hAnsi="FreightSans Pro Book"/>
          <w:b/>
          <w:sz w:val="21"/>
          <w:szCs w:val="21"/>
        </w:rPr>
        <w:t xml:space="preserve"> (tied to IDP</w:t>
      </w:r>
      <w:r w:rsidRPr="00F87DCA">
        <w:rPr>
          <w:rStyle w:val="FootnoteReference"/>
          <w:rFonts w:ascii="FreightSans Pro Book" w:hAnsi="FreightSans Pro Book"/>
          <w:b/>
          <w:sz w:val="21"/>
          <w:szCs w:val="21"/>
        </w:rPr>
        <w:footnoteReference w:id="3"/>
      </w:r>
      <w:r w:rsidRPr="00F87DCA">
        <w:rPr>
          <w:rFonts w:ascii="FreightSans Pro Book" w:hAnsi="FreightSans Pro Book"/>
          <w:b/>
          <w:sz w:val="21"/>
          <w:szCs w:val="21"/>
        </w:rPr>
        <w:t>)(with follow-up scope coordination through DPW via email)</w:t>
      </w:r>
    </w:p>
    <w:p w14:paraId="4A3B140C" w14:textId="77777777" w:rsidR="00E87414" w:rsidRPr="00F87DCA" w:rsidRDefault="00E87414" w:rsidP="00E87414">
      <w:pPr>
        <w:spacing w:after="0" w:line="240" w:lineRule="auto"/>
        <w:rPr>
          <w:rFonts w:ascii="FreightSans Pro Book" w:hAnsi="FreightSans Pro Book"/>
          <w:sz w:val="21"/>
          <w:szCs w:val="21"/>
        </w:rPr>
      </w:pPr>
      <w:r w:rsidRPr="00F87DCA">
        <w:rPr>
          <w:rFonts w:ascii="FreightSans Pro Book" w:hAnsi="FreightSans Pro Book"/>
          <w:sz w:val="21"/>
          <w:szCs w:val="21"/>
        </w:rPr>
        <w:t>- Submit to city ASAP</w:t>
      </w:r>
    </w:p>
    <w:p w14:paraId="577CFDE8" w14:textId="77777777" w:rsidR="00E87414" w:rsidRPr="00F87DCA" w:rsidRDefault="00E87414" w:rsidP="00E87414">
      <w:pPr>
        <w:spacing w:after="0" w:line="240" w:lineRule="auto"/>
        <w:rPr>
          <w:rFonts w:ascii="FreightSans Pro Book" w:hAnsi="FreightSans Pro Book"/>
          <w:sz w:val="21"/>
          <w:szCs w:val="21"/>
        </w:rPr>
      </w:pPr>
      <w:r w:rsidRPr="00F87DCA">
        <w:rPr>
          <w:rFonts w:ascii="FreightSans Pro Book" w:hAnsi="FreightSans Pro Book"/>
          <w:sz w:val="21"/>
          <w:szCs w:val="21"/>
        </w:rPr>
        <w:t>- Debrief February NAC</w:t>
      </w:r>
    </w:p>
    <w:p w14:paraId="7125840C" w14:textId="77777777" w:rsidR="00E87414" w:rsidRPr="00F87DCA" w:rsidRDefault="00E87414" w:rsidP="00E87414">
      <w:pPr>
        <w:spacing w:after="0" w:line="240" w:lineRule="auto"/>
        <w:rPr>
          <w:rFonts w:ascii="FreightSans Pro Book" w:hAnsi="FreightSans Pro Book"/>
          <w:sz w:val="21"/>
          <w:szCs w:val="21"/>
        </w:rPr>
      </w:pPr>
      <w:r w:rsidRPr="00F87DCA">
        <w:rPr>
          <w:rFonts w:ascii="FreightSans Pro Book" w:hAnsi="FreightSans Pro Book"/>
          <w:sz w:val="21"/>
          <w:szCs w:val="21"/>
        </w:rPr>
        <w:t>- Public meeting post-NAC (hosted by city w/ MMC)</w:t>
      </w:r>
    </w:p>
    <w:p w14:paraId="4747A73C" w14:textId="77777777" w:rsidR="00E87414" w:rsidRPr="00F87DCA" w:rsidRDefault="00E87414" w:rsidP="00E87414">
      <w:pPr>
        <w:spacing w:after="0" w:line="240" w:lineRule="auto"/>
        <w:rPr>
          <w:rFonts w:ascii="FreightSans Pro Book" w:hAnsi="FreightSans Pro Book"/>
          <w:sz w:val="21"/>
          <w:szCs w:val="21"/>
        </w:rPr>
      </w:pPr>
      <w:r w:rsidRPr="00F87DCA">
        <w:rPr>
          <w:rFonts w:ascii="FreightSans Pro Book" w:hAnsi="FreightSans Pro Book"/>
          <w:sz w:val="21"/>
          <w:szCs w:val="21"/>
        </w:rPr>
        <w:t>- [Stairs on Congress?]</w:t>
      </w:r>
    </w:p>
    <w:p w14:paraId="000490FE" w14:textId="639ED392" w:rsidR="00E87414" w:rsidRPr="00F87DCA" w:rsidRDefault="00E87414">
      <w:pPr>
        <w:rPr>
          <w:rFonts w:ascii="FreightSans Pro Book" w:hAnsi="FreightSans Pro Book"/>
          <w:b/>
          <w:sz w:val="21"/>
          <w:szCs w:val="21"/>
        </w:rPr>
      </w:pPr>
    </w:p>
    <w:p w14:paraId="7A8A2F19" w14:textId="77777777" w:rsidR="002D5F96" w:rsidRDefault="002D5F96" w:rsidP="00E87414">
      <w:pPr>
        <w:rPr>
          <w:rFonts w:ascii="FreightSans Pro Book" w:hAnsi="FreightSans Pro Book"/>
          <w:b/>
          <w:caps/>
          <w:sz w:val="21"/>
          <w:szCs w:val="21"/>
        </w:rPr>
      </w:pPr>
      <w:r>
        <w:rPr>
          <w:rFonts w:ascii="FreightSans Pro Book" w:hAnsi="FreightSans Pro Book"/>
          <w:b/>
          <w:caps/>
          <w:sz w:val="21"/>
          <w:szCs w:val="21"/>
        </w:rPr>
        <w:t>RTI</w:t>
      </w:r>
    </w:p>
    <w:p w14:paraId="351895F7" w14:textId="77777777" w:rsidR="002D5F96" w:rsidRDefault="002D5F96" w:rsidP="00E87414">
      <w:pPr>
        <w:rPr>
          <w:rFonts w:ascii="FreightSans Pro Book" w:hAnsi="FreightSans Pro Book"/>
          <w:b/>
          <w:caps/>
          <w:sz w:val="21"/>
          <w:szCs w:val="21"/>
        </w:rPr>
      </w:pPr>
      <w:bookmarkStart w:id="0" w:name="_GoBack"/>
      <w:bookmarkEnd w:id="0"/>
    </w:p>
    <w:p w14:paraId="04F9C561" w14:textId="223DBA16" w:rsidR="00E87414" w:rsidRPr="00F87DCA" w:rsidRDefault="00E87414" w:rsidP="00E87414">
      <w:pPr>
        <w:rPr>
          <w:rFonts w:ascii="FreightSans Pro Book" w:hAnsi="FreightSans Pro Book"/>
          <w:b/>
          <w:sz w:val="21"/>
          <w:szCs w:val="21"/>
        </w:rPr>
      </w:pPr>
      <w:r w:rsidRPr="002112B3">
        <w:rPr>
          <w:rFonts w:ascii="FreightSans Pro Book" w:hAnsi="FreightSans Pro Book"/>
          <w:b/>
          <w:caps/>
          <w:sz w:val="21"/>
          <w:szCs w:val="21"/>
        </w:rPr>
        <w:t>Signal Work</w:t>
      </w:r>
      <w:r w:rsidRPr="00F87DCA">
        <w:rPr>
          <w:rFonts w:ascii="FreightSans Pro Book" w:hAnsi="FreightSans Pro Book"/>
          <w:b/>
          <w:sz w:val="21"/>
          <w:szCs w:val="21"/>
        </w:rPr>
        <w:t xml:space="preserve"> (tied to site</w:t>
      </w:r>
      <w:r w:rsidR="00F87DCA" w:rsidRPr="00F87DCA">
        <w:rPr>
          <w:rFonts w:ascii="FreightSans Pro Book" w:hAnsi="FreightSans Pro Book"/>
          <w:b/>
          <w:sz w:val="21"/>
          <w:szCs w:val="21"/>
        </w:rPr>
        <w:t xml:space="preserve"> </w:t>
      </w:r>
      <w:r w:rsidRPr="00F87DCA">
        <w:rPr>
          <w:rFonts w:ascii="FreightSans Pro Book" w:hAnsi="FreightSans Pro Book"/>
          <w:b/>
          <w:sz w:val="21"/>
          <w:szCs w:val="21"/>
        </w:rPr>
        <w:t>plan)</w:t>
      </w:r>
    </w:p>
    <w:p w14:paraId="0FD65A2D" w14:textId="4C11D59F" w:rsidR="00F87DCA" w:rsidRPr="00F87DCA" w:rsidRDefault="00F87DCA" w:rsidP="00E87414">
      <w:pPr>
        <w:rPr>
          <w:rFonts w:ascii="FreightSans Pro Book" w:hAnsi="FreightSans Pro Book" w:cs="Arial"/>
          <w:b/>
          <w:color w:val="000000"/>
          <w:sz w:val="21"/>
          <w:szCs w:val="21"/>
        </w:rPr>
      </w:pPr>
      <w:r w:rsidRPr="00F87DCA">
        <w:rPr>
          <w:rFonts w:ascii="FreightSans Pro Book" w:hAnsi="FreightSans Pro Book" w:cs="Arial"/>
          <w:b/>
          <w:color w:val="000000"/>
          <w:sz w:val="21"/>
          <w:szCs w:val="21"/>
        </w:rPr>
        <w:t>1 St. John/D Street -</w:t>
      </w:r>
    </w:p>
    <w:p w14:paraId="7D04015C" w14:textId="76C2A083" w:rsidR="00E87414" w:rsidRPr="00F87DCA" w:rsidRDefault="00F87DCA" w:rsidP="00E87414">
      <w:pPr>
        <w:rPr>
          <w:rFonts w:ascii="FreightSans Pro Book" w:hAnsi="FreightSans Pro Book" w:cs="Arial"/>
          <w:color w:val="000000"/>
          <w:sz w:val="21"/>
          <w:szCs w:val="21"/>
        </w:rPr>
      </w:pPr>
      <w:r w:rsidRPr="00F87DCA">
        <w:rPr>
          <w:rFonts w:ascii="FreightSans Pro Book" w:hAnsi="FreightSans Pro Book" w:cs="Arial"/>
          <w:color w:val="000000"/>
          <w:sz w:val="21"/>
          <w:szCs w:val="21"/>
        </w:rPr>
        <w:t>(STJ) Prior to issuance of a CO for St. John garage, t</w:t>
      </w:r>
      <w:r w:rsidRPr="00F87DCA">
        <w:rPr>
          <w:rFonts w:ascii="FreightSans Pro Book" w:hAnsi="FreightSans Pro Book" w:cs="Arial"/>
          <w:color w:val="000000"/>
          <w:sz w:val="21"/>
          <w:szCs w:val="21"/>
        </w:rPr>
        <w:t>he applicant shall provide design plans and equipment specifications for the D Street signal for review and approval by the Department of Public Works.  Within one week of certificate of occupancy and six months thereafter if necessary, the applicant shall provide an assessment of the operation of the D Street intersection for review by the Department of Public Works.  Should such an assessment show that the signal at this intersection is warranted, the applicant shall submit a plan for activation of the signal for review and approval by the Department of Public Works.  Following such approval, the applicant shall activate the D Street signal under the supervision of the Department of Public Works;</w:t>
      </w:r>
    </w:p>
    <w:p w14:paraId="4E2481C0" w14:textId="0B3CEA5F" w:rsidR="00F87DCA" w:rsidRPr="00F87DCA" w:rsidRDefault="00F87DCA" w:rsidP="00F87DCA">
      <w:pPr>
        <w:pStyle w:val="NormalWeb"/>
        <w:spacing w:before="120" w:beforeAutospacing="0" w:after="0" w:afterAutospacing="0"/>
        <w:rPr>
          <w:rFonts w:ascii="FreightSans Pro Book" w:hAnsi="FreightSans Pro Book" w:cs="Arial"/>
          <w:b/>
          <w:color w:val="000000"/>
          <w:sz w:val="21"/>
          <w:szCs w:val="21"/>
        </w:rPr>
      </w:pPr>
      <w:r w:rsidRPr="00F87DCA">
        <w:rPr>
          <w:rFonts w:ascii="FreightSans Pro Book" w:hAnsi="FreightSans Pro Book" w:cs="Arial"/>
          <w:b/>
          <w:color w:val="000000"/>
          <w:sz w:val="21"/>
          <w:szCs w:val="21"/>
        </w:rPr>
        <w:t xml:space="preserve">2 Congress/St John – </w:t>
      </w:r>
    </w:p>
    <w:p w14:paraId="530B9F9A" w14:textId="6358ADBB" w:rsidR="00F87DCA" w:rsidRPr="00F87DCA" w:rsidRDefault="00F87DCA" w:rsidP="00F87DCA">
      <w:pPr>
        <w:pStyle w:val="NormalWeb"/>
        <w:spacing w:before="120" w:beforeAutospacing="0" w:after="0" w:afterAutospacing="0"/>
        <w:rPr>
          <w:rFonts w:ascii="FreightSans Pro Book" w:hAnsi="FreightSans Pro Book"/>
          <w:sz w:val="21"/>
          <w:szCs w:val="21"/>
        </w:rPr>
      </w:pPr>
      <w:r w:rsidRPr="00F87DCA">
        <w:rPr>
          <w:rFonts w:ascii="FreightSans Pro Book" w:hAnsi="FreightSans Pro Book" w:cs="Arial"/>
          <w:color w:val="000000"/>
          <w:sz w:val="21"/>
          <w:szCs w:val="21"/>
        </w:rPr>
        <w:t xml:space="preserve">(STJ) </w:t>
      </w:r>
      <w:r w:rsidRPr="00F87DCA">
        <w:rPr>
          <w:rFonts w:ascii="FreightSans Pro Book" w:hAnsi="FreightSans Pro Book" w:cs="Arial"/>
          <w:color w:val="000000"/>
          <w:sz w:val="21"/>
          <w:szCs w:val="21"/>
        </w:rPr>
        <w:t>Prior to issuance of a demolition permit for the Gilman Garage, the applicant shall</w:t>
      </w:r>
      <w:r w:rsidRPr="00F87DCA">
        <w:rPr>
          <w:rFonts w:ascii="FreightSans Pro Book" w:hAnsi="FreightSans Pro Book" w:cs="Arial"/>
          <w:color w:val="000000"/>
          <w:sz w:val="21"/>
          <w:szCs w:val="21"/>
        </w:rPr>
        <w:t xml:space="preserve"> s</w:t>
      </w:r>
      <w:r w:rsidRPr="00F87DCA">
        <w:rPr>
          <w:rFonts w:ascii="FreightSans Pro Book" w:hAnsi="FreightSans Pro Book" w:cs="Arial"/>
          <w:color w:val="000000"/>
          <w:sz w:val="21"/>
          <w:szCs w:val="21"/>
        </w:rPr>
        <w:t>ubmit a plan for traffic signal changes at Congress Street/St. John Street that would allow for concurrent pedestrian phasing for review and approval by the Department of Public Works.  The applicant shall implement such a plan following approval;</w:t>
      </w:r>
    </w:p>
    <w:p w14:paraId="2A409D29" w14:textId="2C89A45B" w:rsidR="00F87DCA" w:rsidRPr="00F87DCA" w:rsidRDefault="00F87DCA" w:rsidP="00F87DCA">
      <w:pPr>
        <w:pStyle w:val="NormalWeb"/>
        <w:spacing w:before="120" w:beforeAutospacing="0" w:after="0" w:afterAutospacing="0"/>
        <w:rPr>
          <w:rFonts w:ascii="FreightSans Pro Book" w:hAnsi="FreightSans Pro Book"/>
          <w:sz w:val="21"/>
          <w:szCs w:val="21"/>
        </w:rPr>
      </w:pPr>
      <w:r w:rsidRPr="00F87DCA">
        <w:rPr>
          <w:rFonts w:ascii="FreightSans Pro Book" w:hAnsi="FreightSans Pro Book" w:cs="Arial"/>
          <w:b/>
          <w:color w:val="000000"/>
          <w:sz w:val="21"/>
          <w:szCs w:val="21"/>
        </w:rPr>
        <w:t>3 Congress/Valley -</w:t>
      </w:r>
      <w:r w:rsidRPr="00F87DCA">
        <w:rPr>
          <w:rFonts w:ascii="FreightSans Pro Book" w:hAnsi="FreightSans Pro Book" w:cs="Arial"/>
          <w:color w:val="000000"/>
          <w:sz w:val="21"/>
          <w:szCs w:val="21"/>
        </w:rPr>
        <w:t>  </w:t>
      </w:r>
    </w:p>
    <w:p w14:paraId="0BD9EA24" w14:textId="32496313" w:rsidR="00F87DCA" w:rsidRDefault="00F87DCA" w:rsidP="00F87DCA">
      <w:pPr>
        <w:pStyle w:val="NormalWeb"/>
        <w:spacing w:before="120" w:beforeAutospacing="0" w:after="0" w:afterAutospacing="0"/>
        <w:rPr>
          <w:rFonts w:ascii="FreightSans Pro Book" w:hAnsi="FreightSans Pro Book" w:cs="Arial"/>
          <w:color w:val="000000"/>
          <w:sz w:val="21"/>
          <w:szCs w:val="21"/>
        </w:rPr>
      </w:pPr>
      <w:r w:rsidRPr="00F87DCA">
        <w:rPr>
          <w:rFonts w:ascii="FreightSans Pro Book" w:hAnsi="FreightSans Pro Book" w:cs="Arial"/>
          <w:color w:val="000000"/>
          <w:sz w:val="21"/>
          <w:szCs w:val="21"/>
        </w:rPr>
        <w:t xml:space="preserve">(STJ) Prior to issuance of a demolition permit for the Gilman Garage, the applicant </w:t>
      </w:r>
      <w:r w:rsidRPr="00F87DCA">
        <w:rPr>
          <w:rFonts w:ascii="FreightSans Pro Book" w:hAnsi="FreightSans Pro Book" w:cs="Arial"/>
          <w:color w:val="000000"/>
          <w:sz w:val="21"/>
          <w:szCs w:val="21"/>
        </w:rPr>
        <w:t xml:space="preserve">shall submit </w:t>
      </w:r>
      <w:r w:rsidRPr="00F87DCA">
        <w:rPr>
          <w:rFonts w:ascii="FreightSans Pro Book" w:hAnsi="FreightSans Pro Book" w:cs="Arial"/>
          <w:color w:val="000000"/>
          <w:sz w:val="21"/>
          <w:szCs w:val="21"/>
        </w:rPr>
        <w:t xml:space="preserve">a plan for the Congress Street/Valley Street intersection under a traffic signal removal scenario, including recommendations that provide for safe pedestrian movements, for review and approval by the Department of Public Works, and coordinate with </w:t>
      </w:r>
      <w:proofErr w:type="spellStart"/>
      <w:r w:rsidRPr="00F87DCA">
        <w:rPr>
          <w:rFonts w:ascii="FreightSans Pro Book" w:hAnsi="FreightSans Pro Book" w:cs="Arial"/>
          <w:color w:val="000000"/>
          <w:sz w:val="21"/>
          <w:szCs w:val="21"/>
        </w:rPr>
        <w:t>MaineDOT</w:t>
      </w:r>
      <w:proofErr w:type="spellEnd"/>
      <w:r w:rsidRPr="00F87DCA">
        <w:rPr>
          <w:rFonts w:ascii="FreightSans Pro Book" w:hAnsi="FreightSans Pro Book" w:cs="Arial"/>
          <w:color w:val="000000"/>
          <w:sz w:val="21"/>
          <w:szCs w:val="21"/>
        </w:rPr>
        <w:t xml:space="preserve"> on traffic signal removal.  The applicant shall implement such a plan following approval.  If </w:t>
      </w:r>
      <w:proofErr w:type="spellStart"/>
      <w:r w:rsidRPr="00F87DCA">
        <w:rPr>
          <w:rFonts w:ascii="FreightSans Pro Book" w:hAnsi="FreightSans Pro Book" w:cs="Arial"/>
          <w:color w:val="000000"/>
          <w:sz w:val="21"/>
          <w:szCs w:val="21"/>
        </w:rPr>
        <w:t>MaineDOT</w:t>
      </w:r>
      <w:proofErr w:type="spellEnd"/>
      <w:r w:rsidRPr="00F87DCA">
        <w:rPr>
          <w:rFonts w:ascii="FreightSans Pro Book" w:hAnsi="FreightSans Pro Book" w:cs="Arial"/>
          <w:color w:val="000000"/>
          <w:sz w:val="21"/>
          <w:szCs w:val="21"/>
        </w:rPr>
        <w:t xml:space="preserve"> does not approve of the removal, the applicant shall submit a plan for traffic signal equipment modifications at the Congress Street/Valley Street intersection to allow for concurrent pedestrian phasing at Congress Street/St. John Street for review and approval by the Department of Public Works.  The applicant shall implement such a plan following approval; </w:t>
      </w:r>
    </w:p>
    <w:p w14:paraId="446A9C67" w14:textId="77777777" w:rsidR="00F87DCA" w:rsidRPr="00F87DCA" w:rsidRDefault="00F87DCA" w:rsidP="00F87DCA">
      <w:pPr>
        <w:pStyle w:val="NormalWeb"/>
        <w:spacing w:before="120" w:beforeAutospacing="0" w:after="0" w:afterAutospacing="0"/>
        <w:rPr>
          <w:rFonts w:ascii="FreightSans Pro Book" w:hAnsi="FreightSans Pro Book"/>
          <w:sz w:val="21"/>
          <w:szCs w:val="21"/>
        </w:rPr>
      </w:pPr>
    </w:p>
    <w:p w14:paraId="4E745E29" w14:textId="5B5AF911" w:rsidR="00F87DCA" w:rsidRPr="00F87DCA" w:rsidRDefault="00F87DCA" w:rsidP="00E87414">
      <w:pPr>
        <w:rPr>
          <w:rFonts w:ascii="FreightSans Pro Book" w:hAnsi="FreightSans Pro Book"/>
          <w:b/>
          <w:sz w:val="21"/>
          <w:szCs w:val="21"/>
        </w:rPr>
      </w:pPr>
      <w:r w:rsidRPr="00F87DCA">
        <w:rPr>
          <w:rFonts w:ascii="FreightSans Pro Book" w:hAnsi="FreightSans Pro Book" w:cs="Arial"/>
          <w:color w:val="222222"/>
          <w:sz w:val="21"/>
          <w:szCs w:val="21"/>
        </w:rPr>
        <w:lastRenderedPageBreak/>
        <w:t>(CST)</w:t>
      </w:r>
      <w:r w:rsidRPr="00F87DCA">
        <w:rPr>
          <w:rFonts w:ascii="FreightSans Pro Book" w:hAnsi="FreightSans Pro Book" w:cs="Arial"/>
          <w:color w:val="222222"/>
          <w:sz w:val="21"/>
          <w:szCs w:val="21"/>
        </w:rPr>
        <w:t xml:space="preserve"> Within three months of the removal of the traffic signal at Valley Street and full occupancy of the Employee Garage at St. John Street, the applicant shall conduct a monitoring study of the Congress Street/Gilman Street intersection, with methods and scope to be approved by the Department of Public Works.  Should the monitoring study show that safety-related improvements as discussed in the Traffic Impact Study are necessary, the applicant shall design and implement such improvements with the review and approval of the Department of Public Works </w:t>
      </w:r>
      <w:r w:rsidRPr="00F87DCA">
        <w:rPr>
          <w:rFonts w:ascii="FreightSans Pro Book" w:hAnsi="FreightSans Pro Book" w:cs="Arial"/>
          <w:color w:val="000000"/>
          <w:sz w:val="21"/>
          <w:szCs w:val="21"/>
        </w:rPr>
        <w:t>and Planning Authority</w:t>
      </w:r>
      <w:r w:rsidRPr="00F87DCA">
        <w:rPr>
          <w:rFonts w:ascii="FreightSans Pro Book" w:hAnsi="FreightSans Pro Book" w:cs="Arial"/>
          <w:color w:val="222222"/>
          <w:sz w:val="21"/>
          <w:szCs w:val="21"/>
        </w:rPr>
        <w:t>;</w:t>
      </w:r>
    </w:p>
    <w:p w14:paraId="52922141" w14:textId="2191266E" w:rsidR="00F87DCA" w:rsidRPr="00F87DCA" w:rsidRDefault="00F87DCA" w:rsidP="00E87414">
      <w:pPr>
        <w:rPr>
          <w:rFonts w:ascii="FreightSans Pro Book" w:hAnsi="FreightSans Pro Book"/>
          <w:b/>
          <w:sz w:val="21"/>
          <w:szCs w:val="21"/>
        </w:rPr>
      </w:pPr>
      <w:r w:rsidRPr="00F87DCA">
        <w:rPr>
          <w:rFonts w:ascii="FreightSans Pro Book" w:hAnsi="FreightSans Pro Book"/>
          <w:b/>
          <w:sz w:val="21"/>
          <w:szCs w:val="21"/>
        </w:rPr>
        <w:t xml:space="preserve">4 Park/Valley – </w:t>
      </w:r>
    </w:p>
    <w:p w14:paraId="5F6E2807" w14:textId="63FD3416" w:rsidR="00F87DCA" w:rsidRPr="00F87DCA" w:rsidRDefault="00F87DCA" w:rsidP="00E87414">
      <w:pPr>
        <w:rPr>
          <w:rFonts w:ascii="FreightSans Pro Book" w:hAnsi="FreightSans Pro Book" w:cs="Arial"/>
          <w:color w:val="222222"/>
          <w:sz w:val="21"/>
          <w:szCs w:val="21"/>
        </w:rPr>
      </w:pPr>
      <w:r>
        <w:rPr>
          <w:rFonts w:ascii="FreightSans Pro Book" w:hAnsi="FreightSans Pro Book" w:cs="Arial"/>
          <w:color w:val="222222"/>
          <w:sz w:val="21"/>
          <w:szCs w:val="21"/>
        </w:rPr>
        <w:t xml:space="preserve">(CST) </w:t>
      </w:r>
      <w:r w:rsidRPr="00F87DCA">
        <w:rPr>
          <w:rFonts w:ascii="FreightSans Pro Book" w:hAnsi="FreightSans Pro Book" w:cs="Arial"/>
          <w:color w:val="222222"/>
          <w:sz w:val="21"/>
          <w:szCs w:val="21"/>
        </w:rPr>
        <w:t xml:space="preserve">Within three months following full occupancy of the Employee Parking Garage on St. John Street and the completion of the St. John Street improvements as required by Dunkin’ Donuts, the applicant shall conduct a monitoring study of the Park Avenue/Valley Street intersection, with methods and scope to be approved by the Department of Public Works.  Should the monitoring study show that safety-related improvements as discussed in the Traffic Impact Study are necessary, the applicant shall design and implement such improvements with the review and approval of the Department of Public Works </w:t>
      </w:r>
      <w:r w:rsidRPr="00F87DCA">
        <w:rPr>
          <w:rFonts w:ascii="FreightSans Pro Book" w:hAnsi="FreightSans Pro Book" w:cs="Arial"/>
          <w:color w:val="000000"/>
          <w:sz w:val="21"/>
          <w:szCs w:val="21"/>
        </w:rPr>
        <w:t>and Planning Authority</w:t>
      </w:r>
      <w:r w:rsidRPr="00F87DCA">
        <w:rPr>
          <w:rFonts w:ascii="FreightSans Pro Book" w:hAnsi="FreightSans Pro Book" w:cs="Arial"/>
          <w:color w:val="222222"/>
          <w:sz w:val="21"/>
          <w:szCs w:val="21"/>
        </w:rPr>
        <w:t>;</w:t>
      </w:r>
    </w:p>
    <w:p w14:paraId="1FEFAFBD" w14:textId="77777777" w:rsidR="00F87DCA" w:rsidRPr="00F87DCA" w:rsidRDefault="00F87DCA" w:rsidP="00E87414">
      <w:pPr>
        <w:rPr>
          <w:rFonts w:ascii="FreightSans Pro Book" w:hAnsi="FreightSans Pro Book" w:cs="Arial"/>
          <w:b/>
          <w:color w:val="222222"/>
          <w:sz w:val="21"/>
          <w:szCs w:val="21"/>
        </w:rPr>
      </w:pPr>
      <w:r w:rsidRPr="00F87DCA">
        <w:rPr>
          <w:rFonts w:ascii="FreightSans Pro Book" w:hAnsi="FreightSans Pro Book" w:cs="Arial"/>
          <w:b/>
          <w:color w:val="222222"/>
          <w:sz w:val="21"/>
          <w:szCs w:val="21"/>
        </w:rPr>
        <w:t xml:space="preserve">5 St. John/A- </w:t>
      </w:r>
    </w:p>
    <w:p w14:paraId="673B2366" w14:textId="137DFA5C" w:rsidR="00F87DCA" w:rsidRPr="00F87DCA" w:rsidRDefault="00F87DCA" w:rsidP="00E87414">
      <w:pPr>
        <w:rPr>
          <w:rFonts w:ascii="FreightSans Pro Book" w:hAnsi="FreightSans Pro Book"/>
          <w:sz w:val="21"/>
          <w:szCs w:val="21"/>
        </w:rPr>
      </w:pPr>
      <w:r>
        <w:rPr>
          <w:rFonts w:ascii="FreightSans Pro Book" w:hAnsi="FreightSans Pro Book" w:cs="Arial"/>
          <w:color w:val="222222"/>
          <w:sz w:val="21"/>
          <w:szCs w:val="21"/>
        </w:rPr>
        <w:t xml:space="preserve">(CST) </w:t>
      </w:r>
      <w:r w:rsidRPr="00F87DCA">
        <w:rPr>
          <w:rFonts w:ascii="FreightSans Pro Book" w:hAnsi="FreightSans Pro Book" w:cs="Arial"/>
          <w:color w:val="222222"/>
          <w:sz w:val="21"/>
          <w:szCs w:val="21"/>
        </w:rPr>
        <w:t xml:space="preserve">Within three months following full occupancy of the Employee Garage on St. John Street, the applicant shall conduct a monitoring study of the St. John Street/A Street intersection, with methods and scope to be approved by the Department of Public Works.  Should the monitoring study show that safety-related improvements as discussed in the Traffic Impact Study are necessary, the applicant shall design and implement such improvements with the review and approval of the Department of Public Works </w:t>
      </w:r>
      <w:r w:rsidRPr="00F87DCA">
        <w:rPr>
          <w:rFonts w:ascii="FreightSans Pro Book" w:hAnsi="FreightSans Pro Book" w:cs="Arial"/>
          <w:color w:val="000000"/>
          <w:sz w:val="21"/>
          <w:szCs w:val="21"/>
        </w:rPr>
        <w:t>and Planning Authority</w:t>
      </w:r>
      <w:r w:rsidRPr="00F87DCA">
        <w:rPr>
          <w:rFonts w:ascii="FreightSans Pro Book" w:hAnsi="FreightSans Pro Book" w:cs="Arial"/>
          <w:color w:val="222222"/>
          <w:sz w:val="21"/>
          <w:szCs w:val="21"/>
        </w:rPr>
        <w:t>;</w:t>
      </w:r>
    </w:p>
    <w:p w14:paraId="6CC46729" w14:textId="70985833" w:rsidR="002112B3" w:rsidRPr="002112B3" w:rsidRDefault="002112B3">
      <w:pPr>
        <w:rPr>
          <w:rFonts w:ascii="FreightSans Pro Book" w:hAnsi="FreightSans Pro Book"/>
          <w:sz w:val="21"/>
          <w:szCs w:val="21"/>
        </w:rPr>
      </w:pPr>
    </w:p>
    <w:p w14:paraId="2BAC4BCD" w14:textId="0BE4B990" w:rsidR="00E87414" w:rsidRPr="00F87DCA" w:rsidRDefault="00E87414">
      <w:pPr>
        <w:rPr>
          <w:rFonts w:ascii="FreightSans Pro Book" w:hAnsi="FreightSans Pro Book"/>
          <w:b/>
          <w:sz w:val="21"/>
          <w:szCs w:val="21"/>
        </w:rPr>
      </w:pPr>
    </w:p>
    <w:p w14:paraId="60AF84BB" w14:textId="77777777" w:rsidR="00E87414" w:rsidRPr="00F87DCA" w:rsidRDefault="00E87414">
      <w:pPr>
        <w:rPr>
          <w:rFonts w:ascii="FreightSans Pro Book" w:hAnsi="FreightSans Pro Book"/>
          <w:b/>
          <w:sz w:val="21"/>
          <w:szCs w:val="21"/>
        </w:rPr>
      </w:pPr>
    </w:p>
    <w:p w14:paraId="39553B22" w14:textId="77777777" w:rsidR="00E87414" w:rsidRPr="00F87DCA" w:rsidRDefault="00E87414">
      <w:pPr>
        <w:rPr>
          <w:rFonts w:ascii="FreightSans Pro Book" w:hAnsi="FreightSans Pro Book"/>
          <w:sz w:val="21"/>
          <w:szCs w:val="21"/>
        </w:rPr>
      </w:pPr>
    </w:p>
    <w:sectPr w:rsidR="00E87414" w:rsidRPr="00F87DCA" w:rsidSect="00E31BEE">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50BB" w14:textId="77777777" w:rsidR="00755D9F" w:rsidRDefault="00755D9F" w:rsidP="000D377C">
      <w:pPr>
        <w:spacing w:after="0" w:line="240" w:lineRule="auto"/>
      </w:pPr>
      <w:r>
        <w:separator/>
      </w:r>
    </w:p>
  </w:endnote>
  <w:endnote w:type="continuationSeparator" w:id="0">
    <w:p w14:paraId="22ED4F92" w14:textId="77777777" w:rsidR="00755D9F" w:rsidRDefault="00755D9F" w:rsidP="000D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ABA3" w14:textId="77777777" w:rsidR="00755D9F" w:rsidRDefault="00755D9F" w:rsidP="000D377C">
      <w:pPr>
        <w:spacing w:after="0" w:line="240" w:lineRule="auto"/>
      </w:pPr>
      <w:r>
        <w:separator/>
      </w:r>
    </w:p>
  </w:footnote>
  <w:footnote w:type="continuationSeparator" w:id="0">
    <w:p w14:paraId="2B2888CC" w14:textId="77777777" w:rsidR="00755D9F" w:rsidRDefault="00755D9F" w:rsidP="000D377C">
      <w:pPr>
        <w:spacing w:after="0" w:line="240" w:lineRule="auto"/>
      </w:pPr>
      <w:r>
        <w:continuationSeparator/>
      </w:r>
    </w:p>
  </w:footnote>
  <w:footnote w:id="1">
    <w:p w14:paraId="1FE8D389" w14:textId="77777777" w:rsidR="00F87DCA" w:rsidRPr="00E87414" w:rsidRDefault="00F87DCA" w:rsidP="00F87DCA">
      <w:pPr>
        <w:pStyle w:val="FootnoteText"/>
        <w:rPr>
          <w:rFonts w:ascii="FreightSans Pro Book" w:hAnsi="FreightSans Pro Book"/>
          <w:i/>
        </w:rPr>
      </w:pPr>
      <w:r w:rsidRPr="00E87414">
        <w:rPr>
          <w:rStyle w:val="FootnoteReference"/>
          <w:rFonts w:ascii="FreightSans Pro Book" w:hAnsi="FreightSans Pro Book"/>
          <w:i/>
        </w:rPr>
        <w:footnoteRef/>
      </w:r>
      <w:r w:rsidRPr="00E87414">
        <w:rPr>
          <w:rFonts w:ascii="FreightSans Pro Book" w:hAnsi="FreightSans Pro Book"/>
          <w:i/>
        </w:rPr>
        <w:t xml:space="preserve"> 14-282(l)3(b)- Healthy Neighborhoods Program- MMC shall initiate and adopt a memorandum of understanding (MOU) by and between the MMC, the City of Portland, an identified Community Housing Development Organization and any other community partners that may be identified later establishing a Healthy Neighborhoods program. Such a program shall be designed to fund and execute housing and community improvement and development programs in St. John Valley and the other neighborhoods surrounding MMC’s Bramhall Campus.</w:t>
      </w:r>
    </w:p>
  </w:footnote>
  <w:footnote w:id="2">
    <w:p w14:paraId="42080324" w14:textId="77777777" w:rsidR="00F87DCA" w:rsidRDefault="00F87DCA" w:rsidP="00F87DCA">
      <w:pPr>
        <w:pStyle w:val="FootnoteText"/>
      </w:pPr>
      <w:r w:rsidRPr="00E87414">
        <w:rPr>
          <w:rStyle w:val="FootnoteReference"/>
          <w:rFonts w:ascii="FreightSans Pro Book" w:hAnsi="FreightSans Pro Book"/>
          <w:i/>
        </w:rPr>
        <w:footnoteRef/>
      </w:r>
      <w:r w:rsidRPr="00E87414">
        <w:rPr>
          <w:rFonts w:ascii="FreightSans Pro Book" w:hAnsi="FreightSans Pro Book"/>
          <w:i/>
        </w:rPr>
        <w:t xml:space="preserve"> 14-282 (l)3(a)-Caring Community Grants- MMC shall develop an annual grant program with available funds of up to $30,000. Goals, priorities, eligibility requirements, program guidelines and allocation approach will be developed by the MMC Neighborhood Council, as described in Chapter 6 of the IDP approved on September 26, 2017. Neighborhood associations or other entities located or operating in the St. John Valley, Parkside, West End, Western Promenade and </w:t>
      </w:r>
      <w:proofErr w:type="spellStart"/>
      <w:r w:rsidRPr="00E87414">
        <w:rPr>
          <w:rFonts w:ascii="FreightSans Pro Book" w:hAnsi="FreightSans Pro Book"/>
          <w:i/>
        </w:rPr>
        <w:t>Libbytown</w:t>
      </w:r>
      <w:proofErr w:type="spellEnd"/>
      <w:r w:rsidRPr="00E87414">
        <w:rPr>
          <w:rFonts w:ascii="FreightSans Pro Book" w:hAnsi="FreightSans Pro Book"/>
          <w:i/>
        </w:rPr>
        <w:t xml:space="preserve"> neighborhoods may apply for grant funding relating to the following initiatives</w:t>
      </w:r>
    </w:p>
  </w:footnote>
  <w:footnote w:id="3">
    <w:p w14:paraId="257C9E82" w14:textId="410EF28F" w:rsidR="00E87414" w:rsidRPr="00E87414" w:rsidRDefault="00E87414" w:rsidP="00E87414">
      <w:pPr>
        <w:pStyle w:val="FootnoteText"/>
        <w:rPr>
          <w:rFonts w:ascii="FreightSans Pro Book" w:hAnsi="FreightSans Pro Book"/>
          <w:i/>
        </w:rPr>
      </w:pPr>
      <w:r w:rsidRPr="00E87414">
        <w:rPr>
          <w:rStyle w:val="FootnoteReference"/>
          <w:rFonts w:ascii="FreightSans Pro Book" w:hAnsi="FreightSans Pro Book"/>
          <w:i/>
        </w:rPr>
        <w:footnoteRef/>
      </w:r>
      <w:r w:rsidRPr="00E87414">
        <w:rPr>
          <w:rFonts w:ascii="FreightSans Pro Book" w:hAnsi="FreightSans Pro Book"/>
          <w:i/>
        </w:rPr>
        <w:t xml:space="preserve"> </w:t>
      </w:r>
      <w:r w:rsidRPr="00E87414">
        <w:rPr>
          <w:rFonts w:ascii="FreightSans Pro Book" w:hAnsi="FreightSans Pro Book"/>
          <w:i/>
        </w:rPr>
        <w:t>(p. 73)</w:t>
      </w:r>
      <w:r w:rsidRPr="00E87414">
        <w:rPr>
          <w:rFonts w:ascii="FreightSans Pro Book" w:hAnsi="FreightSans Pro Book"/>
          <w:i/>
        </w:rPr>
        <w:t xml:space="preserve"> </w:t>
      </w:r>
      <w:r w:rsidRPr="00E87414">
        <w:rPr>
          <w:rFonts w:ascii="FreightSans Pro Book" w:hAnsi="FreightSans Pro Book"/>
          <w:i/>
        </w:rPr>
        <w:t>FUTURE TRANSPORTATION PLANNING CONSIDERATIONS</w:t>
      </w:r>
      <w:r w:rsidRPr="00E87414">
        <w:rPr>
          <w:rFonts w:ascii="FreightSans Pro Book" w:hAnsi="FreightSans Pro Book"/>
          <w:i/>
        </w:rPr>
        <w:t xml:space="preserve"> </w:t>
      </w:r>
    </w:p>
    <w:p w14:paraId="07A12C5A" w14:textId="77777777" w:rsidR="00E87414" w:rsidRPr="00E87414" w:rsidRDefault="00E87414" w:rsidP="00E87414">
      <w:pPr>
        <w:pStyle w:val="FootnoteText"/>
        <w:rPr>
          <w:rFonts w:ascii="FreightSans Pro Book" w:hAnsi="FreightSans Pro Book"/>
          <w:i/>
        </w:rPr>
      </w:pPr>
      <w:r w:rsidRPr="00E87414">
        <w:rPr>
          <w:rFonts w:ascii="FreightSans Pro Book" w:hAnsi="FreightSans Pro Book"/>
          <w:i/>
        </w:rPr>
        <w:t xml:space="preserve">MMC continues to solicit input from its neighbors to identify transportation-related issues and possible improvements that should receive additional consideration during the planning and design of future projects by MMC and the City. Key issues identified in this process to date include the following: </w:t>
      </w:r>
    </w:p>
    <w:p w14:paraId="5FFF8298" w14:textId="0FCB5C50" w:rsidR="00E87414" w:rsidRPr="00E87414" w:rsidRDefault="00E87414" w:rsidP="00E87414">
      <w:pPr>
        <w:pStyle w:val="FootnoteText"/>
        <w:rPr>
          <w:rFonts w:ascii="FreightSans Pro Book" w:hAnsi="FreightSans Pro Book"/>
          <w:i/>
        </w:rPr>
      </w:pPr>
      <w:r w:rsidRPr="00E87414">
        <w:rPr>
          <w:rFonts w:ascii="FreightSans Pro Book" w:hAnsi="FreightSans Pro Book"/>
          <w:i/>
        </w:rPr>
        <w:t>•</w:t>
      </w:r>
      <w:r w:rsidRPr="00E87414">
        <w:rPr>
          <w:rFonts w:ascii="FreightSans Pro Book" w:hAnsi="FreightSans Pro Book"/>
          <w:i/>
        </w:rPr>
        <w:tab/>
        <w:t>Chadwick Street: A portion of Chadwick Street is one-way. The conversion to two-way could reduce the amount of traffic going further into the West-end neighborhood and help slow vehicular speeds to levels that are safer for pedestrians and bicyclists.</w:t>
      </w:r>
    </w:p>
    <w:p w14:paraId="6841E565" w14:textId="77777777" w:rsidR="00E87414" w:rsidRPr="00E87414" w:rsidRDefault="00E87414" w:rsidP="00E87414">
      <w:pPr>
        <w:pStyle w:val="FootnoteText"/>
        <w:rPr>
          <w:rFonts w:ascii="FreightSans Pro Book" w:hAnsi="FreightSans Pro Book"/>
          <w:i/>
        </w:rPr>
      </w:pPr>
      <w:r w:rsidRPr="00E87414">
        <w:rPr>
          <w:rFonts w:ascii="FreightSans Pro Book" w:hAnsi="FreightSans Pro Book"/>
          <w:i/>
        </w:rPr>
        <w:t>•</w:t>
      </w:r>
      <w:r w:rsidRPr="00E87414">
        <w:rPr>
          <w:rFonts w:ascii="FreightSans Pro Book" w:hAnsi="FreightSans Pro Book"/>
          <w:i/>
        </w:rPr>
        <w:tab/>
        <w:t>Chadwick Street at West Street: Neighbors have observed low compliance with stop-signs and two-way travel on one-way streets.</w:t>
      </w:r>
    </w:p>
    <w:p w14:paraId="430A4E46" w14:textId="77777777" w:rsidR="00E87414" w:rsidRPr="00E87414" w:rsidRDefault="00E87414" w:rsidP="00E87414">
      <w:pPr>
        <w:pStyle w:val="FootnoteText"/>
        <w:rPr>
          <w:rFonts w:ascii="FreightSans Pro Book" w:hAnsi="FreightSans Pro Book"/>
          <w:i/>
        </w:rPr>
      </w:pPr>
      <w:r w:rsidRPr="00E87414">
        <w:rPr>
          <w:rFonts w:ascii="FreightSans Pro Book" w:hAnsi="FreightSans Pro Book"/>
          <w:i/>
        </w:rPr>
        <w:t>•</w:t>
      </w:r>
      <w:r w:rsidRPr="00E87414">
        <w:rPr>
          <w:rFonts w:ascii="FreightSans Pro Book" w:hAnsi="FreightSans Pro Book"/>
          <w:i/>
        </w:rPr>
        <w:tab/>
        <w:t>Vaughan Street at Bramhall Street: This</w:t>
      </w:r>
    </w:p>
    <w:p w14:paraId="4BE40A05" w14:textId="7D69B38F" w:rsidR="00E87414" w:rsidRDefault="00E87414" w:rsidP="00E87414">
      <w:pPr>
        <w:pStyle w:val="FootnoteText"/>
      </w:pPr>
      <w:r w:rsidRPr="00E87414">
        <w:rPr>
          <w:rFonts w:ascii="FreightSans Pro Book" w:hAnsi="FreightSans Pro Book"/>
          <w:i/>
        </w:rPr>
        <w:t>is a difficult intersection geometry for pedestrians, cyclists and vehicles.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FF"/>
    <w:rsid w:val="00046800"/>
    <w:rsid w:val="000D377C"/>
    <w:rsid w:val="001B5C8B"/>
    <w:rsid w:val="002112B3"/>
    <w:rsid w:val="002D5F96"/>
    <w:rsid w:val="00341402"/>
    <w:rsid w:val="003F4A36"/>
    <w:rsid w:val="006414CA"/>
    <w:rsid w:val="006A12A5"/>
    <w:rsid w:val="00755D9F"/>
    <w:rsid w:val="008F7EB5"/>
    <w:rsid w:val="00B111F9"/>
    <w:rsid w:val="00DD564E"/>
    <w:rsid w:val="00E31BEE"/>
    <w:rsid w:val="00E663FF"/>
    <w:rsid w:val="00E87414"/>
    <w:rsid w:val="00EE6518"/>
    <w:rsid w:val="00EF6323"/>
    <w:rsid w:val="00F26527"/>
    <w:rsid w:val="00F87DCA"/>
    <w:rsid w:val="00F92955"/>
    <w:rsid w:val="00FB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33A8"/>
  <w15:chartTrackingRefBased/>
  <w15:docId w15:val="{830B22FC-3D2C-4BD1-AD2B-34E6ED41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3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77C"/>
    <w:rPr>
      <w:sz w:val="20"/>
      <w:szCs w:val="20"/>
    </w:rPr>
  </w:style>
  <w:style w:type="character" w:styleId="FootnoteReference">
    <w:name w:val="footnote reference"/>
    <w:basedOn w:val="DefaultParagraphFont"/>
    <w:uiPriority w:val="99"/>
    <w:semiHidden/>
    <w:unhideWhenUsed/>
    <w:rsid w:val="000D377C"/>
    <w:rPr>
      <w:vertAlign w:val="superscript"/>
    </w:rPr>
  </w:style>
  <w:style w:type="paragraph" w:styleId="NormalWeb">
    <w:name w:val="Normal (Web)"/>
    <w:basedOn w:val="Normal"/>
    <w:uiPriority w:val="99"/>
    <w:unhideWhenUsed/>
    <w:rsid w:val="00F87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3CAA-EB45-4CE6-94ED-8284C847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dc:creator>
  <cp:keywords/>
  <dc:description/>
  <cp:lastModifiedBy>Nelle Donaldson</cp:lastModifiedBy>
  <cp:revision>3</cp:revision>
  <dcterms:created xsi:type="dcterms:W3CDTF">2019-01-16T16:18:00Z</dcterms:created>
  <dcterms:modified xsi:type="dcterms:W3CDTF">2019-01-16T16:18:00Z</dcterms:modified>
</cp:coreProperties>
</file>