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F1" w:rsidRDefault="008969F1" w:rsidP="008969F1">
      <w:pPr>
        <w:rPr>
          <w:b/>
        </w:rPr>
      </w:pPr>
      <w:r w:rsidRPr="00A75D10">
        <w:rPr>
          <w:b/>
        </w:rPr>
        <w:t>Master Facility Plan Phase 2: Site Planning and Construction Communication Plan</w:t>
      </w:r>
      <w:r>
        <w:rPr>
          <w:b/>
        </w:rPr>
        <w:t>: Public/Media</w:t>
      </w:r>
    </w:p>
    <w:p w:rsidR="008969F1" w:rsidRPr="00BA6391" w:rsidRDefault="008969F1" w:rsidP="008969F1">
      <w:pPr>
        <w:rPr>
          <w:b/>
        </w:rPr>
      </w:pPr>
      <w:r w:rsidRPr="00BA6391">
        <w:rPr>
          <w:b/>
        </w:rPr>
        <w:t>Goal</w:t>
      </w:r>
    </w:p>
    <w:p w:rsidR="008969F1" w:rsidRDefault="001C2B4A" w:rsidP="008969F1">
      <w:pPr>
        <w:pStyle w:val="ListParagraph"/>
        <w:numPr>
          <w:ilvl w:val="0"/>
          <w:numId w:val="7"/>
        </w:numPr>
      </w:pPr>
      <w:r>
        <w:t>Demonstrate to</w:t>
      </w:r>
      <w:r w:rsidR="008969F1">
        <w:t xml:space="preserve"> </w:t>
      </w:r>
      <w:r>
        <w:t xml:space="preserve">the public and media </w:t>
      </w:r>
      <w:r w:rsidR="008969F1">
        <w:t>that the time, inconvenience and impacts caused by construction of the MMC expansion will be worth it because of the value delivered by the upgraded facility</w:t>
      </w:r>
      <w:r w:rsidR="00632B8A">
        <w:t xml:space="preserve"> and enhanced care services</w:t>
      </w:r>
      <w:r w:rsidR="008969F1">
        <w:t>.</w:t>
      </w:r>
    </w:p>
    <w:p w:rsidR="008969F1" w:rsidRPr="00426BF2" w:rsidRDefault="008969F1" w:rsidP="008969F1">
      <w:pPr>
        <w:rPr>
          <w:b/>
        </w:rPr>
      </w:pPr>
      <w:r w:rsidRPr="00426BF2">
        <w:rPr>
          <w:b/>
        </w:rPr>
        <w:t>Objectives</w:t>
      </w:r>
    </w:p>
    <w:p w:rsidR="008969F1" w:rsidRDefault="008969F1" w:rsidP="008969F1">
      <w:pPr>
        <w:pStyle w:val="ListParagraph"/>
        <w:numPr>
          <w:ilvl w:val="0"/>
          <w:numId w:val="6"/>
        </w:numPr>
      </w:pPr>
      <w:r>
        <w:t xml:space="preserve">Minimize disruption from planning and construction for </w:t>
      </w:r>
      <w:r w:rsidR="00C65DA0">
        <w:t>general public</w:t>
      </w:r>
    </w:p>
    <w:p w:rsidR="008969F1" w:rsidRDefault="008969F1" w:rsidP="008969F1">
      <w:pPr>
        <w:pStyle w:val="ListParagraph"/>
        <w:numPr>
          <w:ilvl w:val="0"/>
          <w:numId w:val="6"/>
        </w:numPr>
      </w:pPr>
      <w:r>
        <w:t>Communicate information regarding construction</w:t>
      </w:r>
    </w:p>
    <w:p w:rsidR="008969F1" w:rsidRDefault="008969F1" w:rsidP="008969F1">
      <w:pPr>
        <w:pStyle w:val="ListParagraph"/>
        <w:numPr>
          <w:ilvl w:val="0"/>
          <w:numId w:val="6"/>
        </w:numPr>
      </w:pPr>
      <w:r>
        <w:t>Communicate information regarding parking changes</w:t>
      </w:r>
    </w:p>
    <w:p w:rsidR="008969F1" w:rsidRDefault="008969F1" w:rsidP="008969F1">
      <w:pPr>
        <w:pStyle w:val="ListParagraph"/>
        <w:numPr>
          <w:ilvl w:val="0"/>
          <w:numId w:val="6"/>
        </w:numPr>
      </w:pPr>
      <w:r>
        <w:t>Communicate information regarding traffic changes</w:t>
      </w:r>
    </w:p>
    <w:p w:rsidR="008969F1" w:rsidRPr="00426BF2" w:rsidRDefault="008969F1" w:rsidP="008969F1">
      <w:pPr>
        <w:rPr>
          <w:b/>
        </w:rPr>
      </w:pPr>
      <w:r w:rsidRPr="00426BF2">
        <w:rPr>
          <w:b/>
        </w:rPr>
        <w:t>Strategies</w:t>
      </w:r>
    </w:p>
    <w:p w:rsidR="00981076" w:rsidRPr="00981076" w:rsidRDefault="00981076" w:rsidP="00981076">
      <w:pPr>
        <w:pStyle w:val="ListParagraph"/>
        <w:numPr>
          <w:ilvl w:val="0"/>
          <w:numId w:val="3"/>
        </w:numPr>
        <w:rPr>
          <w:b/>
        </w:rPr>
      </w:pPr>
      <w:r>
        <w:t xml:space="preserve">Coordinate with City of Portland </w:t>
      </w:r>
      <w:r w:rsidR="00632B8A">
        <w:t>to amplify awareness of impacts and communications</w:t>
      </w:r>
    </w:p>
    <w:p w:rsidR="00981076" w:rsidRPr="00632B8A" w:rsidRDefault="008F5994" w:rsidP="00981076">
      <w:pPr>
        <w:pStyle w:val="ListParagraph"/>
        <w:numPr>
          <w:ilvl w:val="0"/>
          <w:numId w:val="3"/>
        </w:numPr>
        <w:rPr>
          <w:b/>
        </w:rPr>
      </w:pPr>
      <w:r>
        <w:t>Utilize traditional and social media</w:t>
      </w:r>
    </w:p>
    <w:p w:rsidR="00632B8A" w:rsidRPr="00632B8A" w:rsidRDefault="00632B8A" w:rsidP="00981076">
      <w:pPr>
        <w:pStyle w:val="ListParagraph"/>
        <w:numPr>
          <w:ilvl w:val="0"/>
          <w:numId w:val="3"/>
        </w:numPr>
        <w:rPr>
          <w:b/>
        </w:rPr>
      </w:pPr>
      <w:r w:rsidRPr="00632B8A">
        <w:t>Highlight community, economic and clinical benefits of MMC in the past, present and future</w:t>
      </w:r>
    </w:p>
    <w:p w:rsidR="00981076" w:rsidRPr="00981076" w:rsidRDefault="00981076" w:rsidP="00981076">
      <w:pPr>
        <w:pStyle w:val="ListParagraph"/>
        <w:rPr>
          <w:b/>
        </w:rPr>
      </w:pPr>
    </w:p>
    <w:p w:rsidR="008969F1" w:rsidRPr="00632B8A" w:rsidRDefault="008969F1" w:rsidP="00632B8A">
      <w:pPr>
        <w:rPr>
          <w:b/>
        </w:rPr>
      </w:pPr>
      <w:r w:rsidRPr="00632B8A">
        <w:rPr>
          <w:b/>
        </w:rPr>
        <w:t>Messages</w:t>
      </w:r>
    </w:p>
    <w:p w:rsidR="008969F1" w:rsidRDefault="008969F1" w:rsidP="008969F1">
      <w:pPr>
        <w:pStyle w:val="ListParagraph"/>
        <w:numPr>
          <w:ilvl w:val="0"/>
          <w:numId w:val="2"/>
        </w:numPr>
      </w:pPr>
      <w:r>
        <w:t>Maine Medical Center’s modernization and expansion project is centered on providing excellent  patient care</w:t>
      </w:r>
    </w:p>
    <w:p w:rsidR="008969F1" w:rsidRDefault="008969F1" w:rsidP="008969F1">
      <w:pPr>
        <w:pStyle w:val="ListParagraph"/>
        <w:numPr>
          <w:ilvl w:val="0"/>
          <w:numId w:val="2"/>
        </w:numPr>
      </w:pPr>
      <w:r>
        <w:t>Information will be shared in a timely basis and feedback will be collected and incorporated w</w:t>
      </w:r>
      <w:r w:rsidR="00632B8A">
        <w:t>hen the project can be improved</w:t>
      </w:r>
    </w:p>
    <w:p w:rsidR="008969F1" w:rsidRDefault="008969F1" w:rsidP="008969F1">
      <w:pPr>
        <w:pStyle w:val="ListParagraph"/>
        <w:numPr>
          <w:ilvl w:val="0"/>
          <w:numId w:val="2"/>
        </w:numPr>
      </w:pPr>
      <w:r>
        <w:t xml:space="preserve">MMC is committed to mitigating and minimizing impacts caused by </w:t>
      </w:r>
      <w:r w:rsidR="00632B8A">
        <w:t>the construction of its project</w:t>
      </w:r>
    </w:p>
    <w:p w:rsidR="008969F1" w:rsidRPr="009146B9" w:rsidRDefault="008969F1" w:rsidP="008969F1">
      <w:pPr>
        <w:rPr>
          <w:b/>
        </w:rPr>
      </w:pPr>
      <w:r w:rsidRPr="009146B9">
        <w:rPr>
          <w:b/>
        </w:rPr>
        <w:t>Key Audiences</w:t>
      </w:r>
      <w:r>
        <w:rPr>
          <w:b/>
        </w:rPr>
        <w:t>/Stakeholders</w:t>
      </w:r>
    </w:p>
    <w:p w:rsidR="008969F1" w:rsidRDefault="008F5994" w:rsidP="008969F1">
      <w:pPr>
        <w:pStyle w:val="ListParagraph"/>
        <w:numPr>
          <w:ilvl w:val="0"/>
          <w:numId w:val="3"/>
        </w:numPr>
      </w:pPr>
      <w:r>
        <w:t>Public / Media</w:t>
      </w:r>
    </w:p>
    <w:p w:rsidR="008969F1" w:rsidRPr="00632B8A" w:rsidRDefault="008969F1" w:rsidP="008969F1">
      <w:pPr>
        <w:rPr>
          <w:b/>
        </w:rPr>
      </w:pPr>
      <w:r w:rsidRPr="00632B8A">
        <w:rPr>
          <w:b/>
        </w:rPr>
        <w:t>Communication Channels</w:t>
      </w:r>
    </w:p>
    <w:p w:rsidR="008969F1" w:rsidRDefault="008969F1" w:rsidP="008969F1">
      <w:pPr>
        <w:pStyle w:val="ListParagraph"/>
        <w:numPr>
          <w:ilvl w:val="0"/>
          <w:numId w:val="1"/>
        </w:numPr>
      </w:pPr>
      <w:r>
        <w:t>Social Media</w:t>
      </w:r>
      <w:r w:rsidR="008F5994">
        <w:t xml:space="preserve"> (MMC and Portland sites)</w:t>
      </w:r>
    </w:p>
    <w:p w:rsidR="008F5994" w:rsidRDefault="008F5994" w:rsidP="008969F1">
      <w:pPr>
        <w:pStyle w:val="ListParagraph"/>
        <w:numPr>
          <w:ilvl w:val="0"/>
          <w:numId w:val="1"/>
        </w:numPr>
      </w:pPr>
      <w:r>
        <w:t>Earned Media – Print and broadcast</w:t>
      </w:r>
    </w:p>
    <w:p w:rsidR="008969F1" w:rsidRPr="00032881" w:rsidRDefault="008969F1" w:rsidP="008969F1">
      <w:pPr>
        <w:rPr>
          <w:b/>
        </w:rPr>
      </w:pPr>
      <w:r w:rsidRPr="00032881">
        <w:rPr>
          <w:b/>
        </w:rPr>
        <w:t>Milestone events:</w:t>
      </w:r>
    </w:p>
    <w:p w:rsidR="00632B8A" w:rsidRPr="00632B8A" w:rsidRDefault="008969F1" w:rsidP="00632B8A">
      <w:pPr>
        <w:pStyle w:val="ListParagraph"/>
        <w:numPr>
          <w:ilvl w:val="0"/>
          <w:numId w:val="3"/>
        </w:numPr>
      </w:pPr>
      <w:r>
        <w:t>Site Plan 1 Approval</w:t>
      </w:r>
    </w:p>
    <w:p w:rsidR="006E706A" w:rsidRDefault="006E706A" w:rsidP="008969F1">
      <w:pPr>
        <w:pStyle w:val="ListParagraph"/>
        <w:numPr>
          <w:ilvl w:val="0"/>
          <w:numId w:val="3"/>
        </w:numPr>
      </w:pPr>
      <w:r>
        <w:t xml:space="preserve">Congress &amp; </w:t>
      </w:r>
      <w:proofErr w:type="spellStart"/>
      <w:r>
        <w:t>Wescott</w:t>
      </w:r>
      <w:proofErr w:type="spellEnd"/>
      <w:r>
        <w:t xml:space="preserve"> Closures and visitor garage access</w:t>
      </w:r>
    </w:p>
    <w:p w:rsidR="008969F1" w:rsidRPr="00B721A6" w:rsidRDefault="008969F1" w:rsidP="008969F1">
      <w:pPr>
        <w:pStyle w:val="ListParagraph"/>
        <w:numPr>
          <w:ilvl w:val="0"/>
          <w:numId w:val="3"/>
        </w:numPr>
      </w:pPr>
      <w:r w:rsidRPr="00B721A6">
        <w:t>May 7 Construction Start</w:t>
      </w:r>
      <w:r w:rsidR="008F5994">
        <w:t xml:space="preserve"> / Groundbreaking</w:t>
      </w:r>
    </w:p>
    <w:p w:rsidR="008969F1" w:rsidRDefault="008969F1" w:rsidP="008969F1">
      <w:pPr>
        <w:pStyle w:val="ListParagraph"/>
        <w:numPr>
          <w:ilvl w:val="0"/>
          <w:numId w:val="3"/>
        </w:numPr>
      </w:pPr>
      <w:r>
        <w:t>Site Plan 2 Approval</w:t>
      </w:r>
    </w:p>
    <w:p w:rsidR="008969F1" w:rsidRPr="004A2AB8" w:rsidRDefault="006E706A" w:rsidP="008969F1">
      <w:pPr>
        <w:rPr>
          <w:b/>
          <w:color w:val="FF0000"/>
        </w:rPr>
      </w:pPr>
      <w:r w:rsidRPr="004A2AB8">
        <w:rPr>
          <w:b/>
          <w:color w:val="FF0000"/>
        </w:rPr>
        <w:t>Questions/Needs</w:t>
      </w:r>
    </w:p>
    <w:p w:rsidR="006E706A" w:rsidRPr="004A2AB8" w:rsidRDefault="006E706A" w:rsidP="006E706A">
      <w:pPr>
        <w:pStyle w:val="ListParagraph"/>
        <w:numPr>
          <w:ilvl w:val="0"/>
          <w:numId w:val="10"/>
        </w:numPr>
        <w:rPr>
          <w:b/>
        </w:rPr>
      </w:pPr>
      <w:r w:rsidRPr="004A2AB8">
        <w:rPr>
          <w:b/>
        </w:rPr>
        <w:t>Who will speak with media about the logistics of the construction impact?</w:t>
      </w:r>
    </w:p>
    <w:p w:rsidR="00083106" w:rsidRPr="004A2AB8" w:rsidRDefault="00083106" w:rsidP="006E706A">
      <w:pPr>
        <w:pStyle w:val="ListParagraph"/>
        <w:numPr>
          <w:ilvl w:val="0"/>
          <w:numId w:val="10"/>
        </w:numPr>
        <w:rPr>
          <w:b/>
        </w:rPr>
      </w:pPr>
      <w:r w:rsidRPr="004A2AB8">
        <w:rPr>
          <w:b/>
        </w:rPr>
        <w:t xml:space="preserve">How to balance Congress Closure with </w:t>
      </w:r>
      <w:proofErr w:type="spellStart"/>
      <w:r w:rsidRPr="004A2AB8">
        <w:rPr>
          <w:b/>
        </w:rPr>
        <w:t>Wescott</w:t>
      </w:r>
      <w:proofErr w:type="spellEnd"/>
      <w:r w:rsidRPr="004A2AB8">
        <w:rPr>
          <w:b/>
        </w:rPr>
        <w:t xml:space="preserve"> closure for various audiences</w:t>
      </w:r>
    </w:p>
    <w:p w:rsidR="00C46339" w:rsidRDefault="00C46339" w:rsidP="00EC0C8F">
      <w:pPr>
        <w:sectPr w:rsidR="00C46339" w:rsidSect="00EC0C8F">
          <w:head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1231"/>
        <w:gridCol w:w="631"/>
        <w:gridCol w:w="2014"/>
        <w:gridCol w:w="1175"/>
        <w:gridCol w:w="1113"/>
        <w:gridCol w:w="1496"/>
        <w:gridCol w:w="1109"/>
        <w:gridCol w:w="1699"/>
      </w:tblGrid>
      <w:tr w:rsidR="008969F1" w:rsidTr="003B3AF6">
        <w:trPr>
          <w:trHeight w:val="884"/>
        </w:trPr>
        <w:tc>
          <w:tcPr>
            <w:tcW w:w="12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69F1" w:rsidRDefault="008969F1" w:rsidP="00EC0C8F">
            <w:r>
              <w:lastRenderedPageBreak/>
              <w:t>Event/Date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69F1" w:rsidRDefault="008969F1" w:rsidP="00EC0C8F">
            <w:r>
              <w:t>Item #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69F1" w:rsidRDefault="008969F1" w:rsidP="00EC0C8F">
            <w:r>
              <w:t>Product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69F1" w:rsidRDefault="008969F1" w:rsidP="00EC0C8F">
            <w:r>
              <w:t xml:space="preserve">Copy Due / Run 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69F1" w:rsidRDefault="008969F1" w:rsidP="00EC0C8F">
            <w:r>
              <w:t>Audience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69F1" w:rsidRDefault="008969F1" w:rsidP="00EC0C8F">
            <w:r>
              <w:t>Accountability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69F1" w:rsidRDefault="008969F1" w:rsidP="00EC0C8F">
            <w:r>
              <w:t>Approvals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69F1" w:rsidRDefault="008969F1" w:rsidP="00EC0C8F">
            <w:r>
              <w:t>Notes/Status</w:t>
            </w:r>
          </w:p>
        </w:tc>
      </w:tr>
      <w:tr w:rsidR="008969F1" w:rsidTr="003B3AF6">
        <w:trPr>
          <w:trHeight w:val="1161"/>
        </w:trPr>
        <w:tc>
          <w:tcPr>
            <w:tcW w:w="1231" w:type="dxa"/>
            <w:shd w:val="clear" w:color="auto" w:fill="B4C6E7" w:themeFill="accent5" w:themeFillTint="66"/>
          </w:tcPr>
          <w:p w:rsidR="008969F1" w:rsidRDefault="008F5994" w:rsidP="00EC0C8F">
            <w:pPr>
              <w:jc w:val="center"/>
            </w:pPr>
            <w:r>
              <w:t>Site Plan 1 Approval</w:t>
            </w:r>
          </w:p>
        </w:tc>
        <w:tc>
          <w:tcPr>
            <w:tcW w:w="631" w:type="dxa"/>
            <w:shd w:val="clear" w:color="auto" w:fill="B4C6E7" w:themeFill="accent5" w:themeFillTint="66"/>
          </w:tcPr>
          <w:p w:rsidR="008969F1" w:rsidRDefault="008969F1" w:rsidP="00EC0C8F">
            <w:pPr>
              <w:jc w:val="center"/>
            </w:pPr>
            <w:r>
              <w:t>1</w:t>
            </w:r>
          </w:p>
        </w:tc>
        <w:tc>
          <w:tcPr>
            <w:tcW w:w="2014" w:type="dxa"/>
            <w:shd w:val="clear" w:color="auto" w:fill="B4C6E7" w:themeFill="accent5" w:themeFillTint="66"/>
          </w:tcPr>
          <w:p w:rsidR="008969F1" w:rsidRDefault="008969F1" w:rsidP="00EC0C8F"/>
        </w:tc>
        <w:tc>
          <w:tcPr>
            <w:tcW w:w="1175" w:type="dxa"/>
            <w:shd w:val="clear" w:color="auto" w:fill="B4C6E7" w:themeFill="accent5" w:themeFillTint="66"/>
          </w:tcPr>
          <w:p w:rsidR="008969F1" w:rsidRDefault="008969F1" w:rsidP="00EC0C8F"/>
        </w:tc>
        <w:tc>
          <w:tcPr>
            <w:tcW w:w="1113" w:type="dxa"/>
            <w:shd w:val="clear" w:color="auto" w:fill="B4C6E7" w:themeFill="accent5" w:themeFillTint="66"/>
          </w:tcPr>
          <w:p w:rsidR="008969F1" w:rsidRDefault="008969F1" w:rsidP="00EC0C8F"/>
        </w:tc>
        <w:tc>
          <w:tcPr>
            <w:tcW w:w="1496" w:type="dxa"/>
            <w:shd w:val="clear" w:color="auto" w:fill="B4C6E7" w:themeFill="accent5" w:themeFillTint="66"/>
          </w:tcPr>
          <w:p w:rsidR="008969F1" w:rsidRDefault="008969F1" w:rsidP="00EC0C8F"/>
        </w:tc>
        <w:tc>
          <w:tcPr>
            <w:tcW w:w="1109" w:type="dxa"/>
            <w:shd w:val="clear" w:color="auto" w:fill="B4C6E7" w:themeFill="accent5" w:themeFillTint="66"/>
          </w:tcPr>
          <w:p w:rsidR="008969F1" w:rsidRDefault="008969F1" w:rsidP="00EC0C8F">
            <w:pPr>
              <w:jc w:val="center"/>
            </w:pPr>
          </w:p>
        </w:tc>
        <w:tc>
          <w:tcPr>
            <w:tcW w:w="1699" w:type="dxa"/>
            <w:shd w:val="clear" w:color="auto" w:fill="B4C6E7" w:themeFill="accent5" w:themeFillTint="66"/>
          </w:tcPr>
          <w:p w:rsidR="008969F1" w:rsidRPr="006E706A" w:rsidRDefault="008969F1" w:rsidP="00EC0C8F">
            <w:r w:rsidRPr="006E706A">
              <w:t>East Tower Overbuild Prep</w:t>
            </w:r>
          </w:p>
        </w:tc>
      </w:tr>
      <w:tr w:rsidR="00180769" w:rsidTr="003B3AF6">
        <w:trPr>
          <w:trHeight w:val="870"/>
        </w:trPr>
        <w:tc>
          <w:tcPr>
            <w:tcW w:w="1231" w:type="dxa"/>
            <w:tcBorders>
              <w:bottom w:val="single" w:sz="4" w:space="0" w:color="auto"/>
            </w:tcBorders>
          </w:tcPr>
          <w:p w:rsidR="00180769" w:rsidRDefault="00180769" w:rsidP="00EC0C8F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180769" w:rsidRDefault="00180769" w:rsidP="00EC0C8F">
            <w:pPr>
              <w:jc w:val="center"/>
            </w:pPr>
            <w:r>
              <w:t>1a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80769" w:rsidRDefault="00180769" w:rsidP="006E706A">
            <w:r>
              <w:t>Media Info Packet</w:t>
            </w:r>
            <w:r w:rsidR="00556339">
              <w:t xml:space="preserve"> / thumb drive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180769" w:rsidRDefault="00180769" w:rsidP="00632B8A">
            <w:r>
              <w:t>March 27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180769" w:rsidRDefault="00180769" w:rsidP="00EC0C8F">
            <w:r>
              <w:t>Media Covering Hearing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80769" w:rsidRDefault="00180769" w:rsidP="00EC0C8F">
            <w:r>
              <w:t>Caroline, Matt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180769" w:rsidRDefault="00180769" w:rsidP="00EC0C8F">
            <w:pPr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80769" w:rsidRPr="00180769" w:rsidRDefault="00180769" w:rsidP="00EC0C8F">
            <w:r>
              <w:t>Includes bulleted fact sheet, Congress Street map, East Tower area map</w:t>
            </w:r>
          </w:p>
        </w:tc>
      </w:tr>
      <w:tr w:rsidR="008F5994" w:rsidTr="003B3AF6">
        <w:trPr>
          <w:trHeight w:val="870"/>
        </w:trPr>
        <w:tc>
          <w:tcPr>
            <w:tcW w:w="1231" w:type="dxa"/>
            <w:tcBorders>
              <w:bottom w:val="single" w:sz="4" w:space="0" w:color="auto"/>
            </w:tcBorders>
          </w:tcPr>
          <w:p w:rsidR="008F5994" w:rsidRDefault="008F5994" w:rsidP="00EC0C8F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8F5994" w:rsidRDefault="008F5994" w:rsidP="003B3AF6">
            <w:pPr>
              <w:jc w:val="center"/>
            </w:pPr>
            <w:r>
              <w:t>1</w:t>
            </w:r>
            <w:r w:rsidR="003B3AF6">
              <w:t>b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8F5994" w:rsidRDefault="006E706A" w:rsidP="006E706A">
            <w:r>
              <w:t>Press Release (posted to the website and distributed to media)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8F5994" w:rsidRDefault="00632B8A" w:rsidP="00632B8A">
            <w:r>
              <w:t>March 28 (</w:t>
            </w:r>
            <w:r w:rsidR="008F5994">
              <w:t xml:space="preserve">Morning after Planning Board Vote </w:t>
            </w:r>
            <w:r w:rsidR="006E706A">
              <w:t>)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8F5994" w:rsidRDefault="00632B8A" w:rsidP="00EC0C8F">
            <w:r>
              <w:t>Statewide Media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8F5994" w:rsidRDefault="008F5994" w:rsidP="00EC0C8F"/>
        </w:tc>
        <w:tc>
          <w:tcPr>
            <w:tcW w:w="1109" w:type="dxa"/>
            <w:tcBorders>
              <w:bottom w:val="single" w:sz="4" w:space="0" w:color="auto"/>
            </w:tcBorders>
          </w:tcPr>
          <w:p w:rsidR="008F5994" w:rsidRDefault="008F5994" w:rsidP="00EC0C8F">
            <w:pPr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F5994" w:rsidRPr="00A61108" w:rsidRDefault="008F5994" w:rsidP="00EC0C8F">
            <w:pPr>
              <w:rPr>
                <w:i/>
              </w:rPr>
            </w:pPr>
            <w:r>
              <w:rPr>
                <w:i/>
              </w:rPr>
              <w:t xml:space="preserve">Include </w:t>
            </w:r>
            <w:r w:rsidR="006E706A">
              <w:rPr>
                <w:i/>
              </w:rPr>
              <w:t xml:space="preserve">Congress </w:t>
            </w:r>
            <w:r>
              <w:rPr>
                <w:i/>
              </w:rPr>
              <w:t>Detour Map</w:t>
            </w:r>
            <w:r w:rsidR="006E706A">
              <w:rPr>
                <w:i/>
              </w:rPr>
              <w:t>, East Tower area map</w:t>
            </w:r>
          </w:p>
        </w:tc>
      </w:tr>
      <w:tr w:rsidR="003B3AF6" w:rsidTr="003B3AF6">
        <w:trPr>
          <w:trHeight w:val="870"/>
        </w:trPr>
        <w:tc>
          <w:tcPr>
            <w:tcW w:w="1231" w:type="dxa"/>
            <w:tcBorders>
              <w:bottom w:val="single" w:sz="4" w:space="0" w:color="auto"/>
            </w:tcBorders>
          </w:tcPr>
          <w:p w:rsidR="003B3AF6" w:rsidRDefault="003B3AF6" w:rsidP="00EC0C8F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3B3AF6" w:rsidRDefault="003B3AF6" w:rsidP="003B3AF6">
            <w:pPr>
              <w:jc w:val="center"/>
            </w:pPr>
            <w:r>
              <w:t>1c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3B3AF6" w:rsidRDefault="003B3AF6" w:rsidP="006E706A">
            <w:r>
              <w:t>Media Availability (as needed)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B3AF6" w:rsidRDefault="003B3AF6" w:rsidP="00632B8A">
            <w:r>
              <w:t>March 28 – 11-1 p.m.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B3AF6" w:rsidRDefault="003B3AF6" w:rsidP="00EC0C8F">
            <w:r>
              <w:t xml:space="preserve">Local media doing </w:t>
            </w:r>
            <w:proofErr w:type="spellStart"/>
            <w:r>
              <w:t>Folos</w:t>
            </w:r>
            <w:proofErr w:type="spellEnd"/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B3AF6" w:rsidRDefault="003B3AF6" w:rsidP="00EC0C8F"/>
        </w:tc>
        <w:tc>
          <w:tcPr>
            <w:tcW w:w="1109" w:type="dxa"/>
            <w:tcBorders>
              <w:bottom w:val="single" w:sz="4" w:space="0" w:color="auto"/>
            </w:tcBorders>
          </w:tcPr>
          <w:p w:rsidR="003B3AF6" w:rsidRDefault="003B3AF6" w:rsidP="00EC0C8F">
            <w:pPr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B3AF6" w:rsidRPr="003B3AF6" w:rsidRDefault="003B3AF6" w:rsidP="00EC0C8F">
            <w:r>
              <w:t>Spokesman on Congress Street, with blow-up poster board of new street scape; discussing detour and future</w:t>
            </w:r>
          </w:p>
        </w:tc>
      </w:tr>
      <w:tr w:rsidR="008F5994" w:rsidTr="003B3AF6">
        <w:trPr>
          <w:trHeight w:val="580"/>
        </w:trPr>
        <w:tc>
          <w:tcPr>
            <w:tcW w:w="1231" w:type="dxa"/>
            <w:shd w:val="clear" w:color="auto" w:fill="B4C6E7" w:themeFill="accent5" w:themeFillTint="66"/>
          </w:tcPr>
          <w:p w:rsidR="008F5994" w:rsidRDefault="008F5994" w:rsidP="006E706A">
            <w:pPr>
              <w:jc w:val="center"/>
            </w:pPr>
            <w:r>
              <w:t>Congress</w:t>
            </w:r>
            <w:r w:rsidR="006E706A">
              <w:t xml:space="preserve"> &amp; </w:t>
            </w:r>
            <w:proofErr w:type="spellStart"/>
            <w:r w:rsidR="006E706A">
              <w:t>Wescott</w:t>
            </w:r>
            <w:proofErr w:type="spellEnd"/>
            <w:r w:rsidR="006E706A">
              <w:t xml:space="preserve"> Closures and visitor garage access</w:t>
            </w:r>
          </w:p>
        </w:tc>
        <w:tc>
          <w:tcPr>
            <w:tcW w:w="631" w:type="dxa"/>
            <w:shd w:val="clear" w:color="auto" w:fill="B4C6E7" w:themeFill="accent5" w:themeFillTint="66"/>
          </w:tcPr>
          <w:p w:rsidR="008F5994" w:rsidRDefault="008F5994" w:rsidP="00EC0C8F">
            <w:pPr>
              <w:jc w:val="center"/>
            </w:pPr>
            <w:r>
              <w:t>2</w:t>
            </w:r>
          </w:p>
        </w:tc>
        <w:tc>
          <w:tcPr>
            <w:tcW w:w="2014" w:type="dxa"/>
            <w:shd w:val="clear" w:color="auto" w:fill="B4C6E7" w:themeFill="accent5" w:themeFillTint="66"/>
          </w:tcPr>
          <w:p w:rsidR="008F5994" w:rsidRDefault="008F5994" w:rsidP="00EC0C8F"/>
        </w:tc>
        <w:tc>
          <w:tcPr>
            <w:tcW w:w="1175" w:type="dxa"/>
            <w:shd w:val="clear" w:color="auto" w:fill="B4C6E7" w:themeFill="accent5" w:themeFillTint="66"/>
          </w:tcPr>
          <w:p w:rsidR="008F5994" w:rsidRDefault="008F5994" w:rsidP="00EC0C8F"/>
          <w:p w:rsidR="008F5994" w:rsidRDefault="008F5994" w:rsidP="00EC0C8F"/>
        </w:tc>
        <w:tc>
          <w:tcPr>
            <w:tcW w:w="1113" w:type="dxa"/>
            <w:shd w:val="clear" w:color="auto" w:fill="B4C6E7" w:themeFill="accent5" w:themeFillTint="66"/>
          </w:tcPr>
          <w:p w:rsidR="008F5994" w:rsidRDefault="008F5994" w:rsidP="00EC0C8F"/>
        </w:tc>
        <w:tc>
          <w:tcPr>
            <w:tcW w:w="1496" w:type="dxa"/>
            <w:shd w:val="clear" w:color="auto" w:fill="B4C6E7" w:themeFill="accent5" w:themeFillTint="66"/>
          </w:tcPr>
          <w:p w:rsidR="008F5994" w:rsidRDefault="008F5994" w:rsidP="00EC0C8F"/>
        </w:tc>
        <w:tc>
          <w:tcPr>
            <w:tcW w:w="1109" w:type="dxa"/>
            <w:shd w:val="clear" w:color="auto" w:fill="B4C6E7" w:themeFill="accent5" w:themeFillTint="66"/>
          </w:tcPr>
          <w:p w:rsidR="008F5994" w:rsidRDefault="008F5994" w:rsidP="00EC0C8F">
            <w:pPr>
              <w:jc w:val="center"/>
            </w:pPr>
          </w:p>
        </w:tc>
        <w:tc>
          <w:tcPr>
            <w:tcW w:w="1699" w:type="dxa"/>
            <w:shd w:val="clear" w:color="auto" w:fill="B4C6E7" w:themeFill="accent5" w:themeFillTint="66"/>
          </w:tcPr>
          <w:p w:rsidR="008F5994" w:rsidRPr="00AE5982" w:rsidRDefault="008F5994" w:rsidP="00EC0C8F">
            <w:pPr>
              <w:rPr>
                <w:b/>
              </w:rPr>
            </w:pPr>
            <w:r>
              <w:t>Communicate throughout April</w:t>
            </w:r>
          </w:p>
        </w:tc>
      </w:tr>
      <w:tr w:rsidR="008F5994" w:rsidTr="003B3AF6">
        <w:trPr>
          <w:trHeight w:val="1161"/>
        </w:trPr>
        <w:tc>
          <w:tcPr>
            <w:tcW w:w="1231" w:type="dxa"/>
            <w:shd w:val="clear" w:color="auto" w:fill="FFFFFF" w:themeFill="background1"/>
          </w:tcPr>
          <w:p w:rsidR="008F5994" w:rsidRDefault="008F5994" w:rsidP="00EC0C8F">
            <w:pPr>
              <w:jc w:val="center"/>
            </w:pPr>
          </w:p>
        </w:tc>
        <w:tc>
          <w:tcPr>
            <w:tcW w:w="631" w:type="dxa"/>
            <w:shd w:val="clear" w:color="auto" w:fill="FFFFFF" w:themeFill="background1"/>
          </w:tcPr>
          <w:p w:rsidR="008F5994" w:rsidRDefault="008F5994" w:rsidP="00EC0C8F">
            <w:pPr>
              <w:jc w:val="center"/>
            </w:pPr>
            <w:r>
              <w:t>2a</w:t>
            </w:r>
          </w:p>
        </w:tc>
        <w:tc>
          <w:tcPr>
            <w:tcW w:w="2014" w:type="dxa"/>
            <w:shd w:val="clear" w:color="auto" w:fill="FFFFFF" w:themeFill="background1"/>
          </w:tcPr>
          <w:p w:rsidR="008F5994" w:rsidRDefault="008F5994" w:rsidP="00EC0C8F">
            <w:r>
              <w:t>Facebook Detour posts; Info on Visitor Garage</w:t>
            </w:r>
          </w:p>
        </w:tc>
        <w:tc>
          <w:tcPr>
            <w:tcW w:w="1175" w:type="dxa"/>
            <w:shd w:val="clear" w:color="auto" w:fill="FFFFFF" w:themeFill="background1"/>
          </w:tcPr>
          <w:p w:rsidR="008F5994" w:rsidRDefault="006E706A" w:rsidP="006E706A">
            <w:r>
              <w:t>Reminders</w:t>
            </w:r>
            <w:r w:rsidR="008F5994">
              <w:t xml:space="preserve"> </w:t>
            </w:r>
            <w:r>
              <w:t xml:space="preserve">posted </w:t>
            </w:r>
            <w:r w:rsidR="008F5994">
              <w:t>each to run week-long; week of April 9, 16, 23, 30</w:t>
            </w:r>
          </w:p>
        </w:tc>
        <w:tc>
          <w:tcPr>
            <w:tcW w:w="1113" w:type="dxa"/>
            <w:shd w:val="clear" w:color="auto" w:fill="FFFFFF" w:themeFill="background1"/>
          </w:tcPr>
          <w:p w:rsidR="008F5994" w:rsidRDefault="008F5994" w:rsidP="00EC0C8F"/>
        </w:tc>
        <w:tc>
          <w:tcPr>
            <w:tcW w:w="1496" w:type="dxa"/>
            <w:shd w:val="clear" w:color="auto" w:fill="FFFFFF" w:themeFill="background1"/>
          </w:tcPr>
          <w:p w:rsidR="008F5994" w:rsidRDefault="008F5994" w:rsidP="00EC0C8F"/>
        </w:tc>
        <w:tc>
          <w:tcPr>
            <w:tcW w:w="1109" w:type="dxa"/>
            <w:shd w:val="clear" w:color="auto" w:fill="FFFFFF" w:themeFill="background1"/>
          </w:tcPr>
          <w:p w:rsidR="008F5994" w:rsidRDefault="008F5994" w:rsidP="00EC0C8F">
            <w:pPr>
              <w:jc w:val="center"/>
            </w:pPr>
          </w:p>
        </w:tc>
        <w:tc>
          <w:tcPr>
            <w:tcW w:w="1699" w:type="dxa"/>
            <w:shd w:val="clear" w:color="auto" w:fill="FFFFFF" w:themeFill="background1"/>
          </w:tcPr>
          <w:p w:rsidR="008F5994" w:rsidRPr="00A61108" w:rsidRDefault="006E706A" w:rsidP="00556339">
            <w:pPr>
              <w:rPr>
                <w:i/>
              </w:rPr>
            </w:pPr>
            <w:r>
              <w:rPr>
                <w:i/>
              </w:rPr>
              <w:t>Include posts on Twitter and Instagram</w:t>
            </w:r>
            <w:r w:rsidR="00556339">
              <w:rPr>
                <w:i/>
              </w:rPr>
              <w:t>; On-site signage posted just prior to closure coordinated with project team</w:t>
            </w:r>
          </w:p>
        </w:tc>
      </w:tr>
      <w:tr w:rsidR="008F5994" w:rsidTr="003B3AF6">
        <w:trPr>
          <w:trHeight w:val="290"/>
        </w:trPr>
        <w:tc>
          <w:tcPr>
            <w:tcW w:w="1231" w:type="dxa"/>
            <w:shd w:val="clear" w:color="auto" w:fill="FFFFFF" w:themeFill="background1"/>
          </w:tcPr>
          <w:p w:rsidR="008F5994" w:rsidRDefault="008F5994" w:rsidP="00EC0C8F"/>
          <w:p w:rsidR="008F5994" w:rsidRDefault="008F5994" w:rsidP="00EC0C8F"/>
          <w:p w:rsidR="008F5994" w:rsidRDefault="008F5994" w:rsidP="00EC0C8F"/>
          <w:p w:rsidR="008F5994" w:rsidRDefault="008F5994" w:rsidP="00EC0C8F"/>
          <w:p w:rsidR="008F5994" w:rsidRDefault="008F5994" w:rsidP="00EC0C8F"/>
          <w:p w:rsidR="008F5994" w:rsidRDefault="008F5994" w:rsidP="00EC0C8F"/>
        </w:tc>
        <w:tc>
          <w:tcPr>
            <w:tcW w:w="631" w:type="dxa"/>
            <w:shd w:val="clear" w:color="auto" w:fill="FFFFFF" w:themeFill="background1"/>
          </w:tcPr>
          <w:p w:rsidR="008F5994" w:rsidRDefault="006E706A" w:rsidP="00EC0C8F">
            <w:r>
              <w:lastRenderedPageBreak/>
              <w:t>2b</w:t>
            </w:r>
          </w:p>
        </w:tc>
        <w:tc>
          <w:tcPr>
            <w:tcW w:w="2014" w:type="dxa"/>
            <w:shd w:val="clear" w:color="auto" w:fill="FFFFFF" w:themeFill="background1"/>
          </w:tcPr>
          <w:p w:rsidR="008F5994" w:rsidRDefault="006E706A" w:rsidP="006E706A">
            <w:r>
              <w:t xml:space="preserve">Earned </w:t>
            </w:r>
            <w:r w:rsidR="00083106">
              <w:t xml:space="preserve">news </w:t>
            </w:r>
            <w:r>
              <w:t xml:space="preserve">media </w:t>
            </w:r>
            <w:r w:rsidR="00083106">
              <w:t xml:space="preserve">and ‘earned’ news media social posts </w:t>
            </w:r>
            <w:r>
              <w:t xml:space="preserve">covering Congress &amp; </w:t>
            </w:r>
            <w:proofErr w:type="spellStart"/>
            <w:r>
              <w:t>Wescott</w:t>
            </w:r>
            <w:proofErr w:type="spellEnd"/>
            <w:r>
              <w:t xml:space="preserve"> </w:t>
            </w:r>
            <w:r w:rsidR="008F5994">
              <w:t>Detour</w:t>
            </w:r>
            <w:r>
              <w:t>s</w:t>
            </w:r>
            <w:r w:rsidR="008F5994">
              <w:t xml:space="preserve">, </w:t>
            </w:r>
            <w:r>
              <w:lastRenderedPageBreak/>
              <w:t>and visitor access</w:t>
            </w:r>
          </w:p>
        </w:tc>
        <w:tc>
          <w:tcPr>
            <w:tcW w:w="1175" w:type="dxa"/>
            <w:shd w:val="clear" w:color="auto" w:fill="FFFFFF" w:themeFill="background1"/>
          </w:tcPr>
          <w:p w:rsidR="008F5994" w:rsidRDefault="008F5994" w:rsidP="00EC0C8F">
            <w:r>
              <w:lastRenderedPageBreak/>
              <w:t xml:space="preserve">Start talking week of April 23 for </w:t>
            </w:r>
            <w:r>
              <w:lastRenderedPageBreak/>
              <w:t>Placement Week of Apr 30</w:t>
            </w:r>
          </w:p>
        </w:tc>
        <w:tc>
          <w:tcPr>
            <w:tcW w:w="1113" w:type="dxa"/>
            <w:shd w:val="clear" w:color="auto" w:fill="FFFFFF" w:themeFill="background1"/>
          </w:tcPr>
          <w:p w:rsidR="008F5994" w:rsidRDefault="008F5994" w:rsidP="00EC0C8F"/>
        </w:tc>
        <w:tc>
          <w:tcPr>
            <w:tcW w:w="1496" w:type="dxa"/>
            <w:shd w:val="clear" w:color="auto" w:fill="FFFFFF" w:themeFill="background1"/>
          </w:tcPr>
          <w:p w:rsidR="008F5994" w:rsidRDefault="008F5994" w:rsidP="00EC0C8F"/>
        </w:tc>
        <w:tc>
          <w:tcPr>
            <w:tcW w:w="1109" w:type="dxa"/>
            <w:shd w:val="clear" w:color="auto" w:fill="FFFFFF" w:themeFill="background1"/>
          </w:tcPr>
          <w:p w:rsidR="008F5994" w:rsidRDefault="008F5994" w:rsidP="00EC0C8F"/>
        </w:tc>
        <w:tc>
          <w:tcPr>
            <w:tcW w:w="1699" w:type="dxa"/>
            <w:shd w:val="clear" w:color="auto" w:fill="FFFFFF" w:themeFill="background1"/>
          </w:tcPr>
          <w:p w:rsidR="008F5994" w:rsidRDefault="006E706A" w:rsidP="00AD1AB2">
            <w:r>
              <w:t xml:space="preserve">Targets include PPH, BDN, Forecaster, Sun Journal, (1 story, 3 </w:t>
            </w:r>
            <w:r>
              <w:lastRenderedPageBreak/>
              <w:t>outlets?) MPBN, Ch. 6, 8, 13</w:t>
            </w:r>
          </w:p>
        </w:tc>
      </w:tr>
      <w:tr w:rsidR="008F5994" w:rsidTr="003B3AF6">
        <w:trPr>
          <w:trHeight w:val="290"/>
        </w:trPr>
        <w:tc>
          <w:tcPr>
            <w:tcW w:w="1231" w:type="dxa"/>
            <w:shd w:val="clear" w:color="auto" w:fill="FFFFFF" w:themeFill="background1"/>
          </w:tcPr>
          <w:p w:rsidR="008F5994" w:rsidRDefault="008F5994" w:rsidP="00EC0C8F"/>
        </w:tc>
        <w:tc>
          <w:tcPr>
            <w:tcW w:w="631" w:type="dxa"/>
            <w:shd w:val="clear" w:color="auto" w:fill="FFFFFF" w:themeFill="background1"/>
          </w:tcPr>
          <w:p w:rsidR="008F5994" w:rsidRDefault="00AD1AB2" w:rsidP="00EC0C8F">
            <w:r>
              <w:t>2d</w:t>
            </w:r>
          </w:p>
        </w:tc>
        <w:tc>
          <w:tcPr>
            <w:tcW w:w="2014" w:type="dxa"/>
            <w:shd w:val="clear" w:color="auto" w:fill="FFFFFF" w:themeFill="background1"/>
          </w:tcPr>
          <w:p w:rsidR="008F5994" w:rsidRDefault="00AD1AB2" w:rsidP="00EC0C8F">
            <w:r>
              <w:t>Press Release on Closure</w:t>
            </w:r>
          </w:p>
        </w:tc>
        <w:tc>
          <w:tcPr>
            <w:tcW w:w="1175" w:type="dxa"/>
            <w:shd w:val="clear" w:color="auto" w:fill="FFFFFF" w:themeFill="background1"/>
          </w:tcPr>
          <w:p w:rsidR="008F5994" w:rsidRDefault="00AD1AB2" w:rsidP="00EC0C8F">
            <w:r>
              <w:t>Run week of April 30</w:t>
            </w:r>
          </w:p>
        </w:tc>
        <w:tc>
          <w:tcPr>
            <w:tcW w:w="1113" w:type="dxa"/>
            <w:shd w:val="clear" w:color="auto" w:fill="FFFFFF" w:themeFill="background1"/>
          </w:tcPr>
          <w:p w:rsidR="008F5994" w:rsidRDefault="008F5994" w:rsidP="00EC0C8F"/>
        </w:tc>
        <w:tc>
          <w:tcPr>
            <w:tcW w:w="1496" w:type="dxa"/>
            <w:shd w:val="clear" w:color="auto" w:fill="FFFFFF" w:themeFill="background1"/>
          </w:tcPr>
          <w:p w:rsidR="008F5994" w:rsidRDefault="008F5994" w:rsidP="00EC0C8F"/>
        </w:tc>
        <w:tc>
          <w:tcPr>
            <w:tcW w:w="1109" w:type="dxa"/>
            <w:shd w:val="clear" w:color="auto" w:fill="FFFFFF" w:themeFill="background1"/>
          </w:tcPr>
          <w:p w:rsidR="008F5994" w:rsidRDefault="008F5994" w:rsidP="00EC0C8F"/>
        </w:tc>
        <w:tc>
          <w:tcPr>
            <w:tcW w:w="1699" w:type="dxa"/>
            <w:shd w:val="clear" w:color="auto" w:fill="FFFFFF" w:themeFill="background1"/>
          </w:tcPr>
          <w:p w:rsidR="008F5994" w:rsidRDefault="00AD1AB2" w:rsidP="00EC0C8F">
            <w:r>
              <w:t>Distro to Non-Portland sources: Times Record, Journal Tribune, community weeklies</w:t>
            </w:r>
          </w:p>
        </w:tc>
      </w:tr>
      <w:tr w:rsidR="00AD1AB2" w:rsidTr="003B3AF6">
        <w:trPr>
          <w:trHeight w:val="290"/>
        </w:trPr>
        <w:tc>
          <w:tcPr>
            <w:tcW w:w="1231" w:type="dxa"/>
            <w:shd w:val="clear" w:color="auto" w:fill="FFFFFF" w:themeFill="background1"/>
          </w:tcPr>
          <w:p w:rsidR="00AD1AB2" w:rsidRDefault="00AD1AB2" w:rsidP="00EC0C8F"/>
        </w:tc>
        <w:tc>
          <w:tcPr>
            <w:tcW w:w="631" w:type="dxa"/>
            <w:shd w:val="clear" w:color="auto" w:fill="FFFFFF" w:themeFill="background1"/>
          </w:tcPr>
          <w:p w:rsidR="00AD1AB2" w:rsidRDefault="00AD1AB2" w:rsidP="00EC0C8F">
            <w:r>
              <w:t>2e</w:t>
            </w:r>
          </w:p>
        </w:tc>
        <w:tc>
          <w:tcPr>
            <w:tcW w:w="2014" w:type="dxa"/>
            <w:shd w:val="clear" w:color="auto" w:fill="FFFFFF" w:themeFill="background1"/>
          </w:tcPr>
          <w:p w:rsidR="00AD1AB2" w:rsidRDefault="00AD1AB2" w:rsidP="00083106">
            <w:r>
              <w:t xml:space="preserve">Update for </w:t>
            </w:r>
            <w:r w:rsidR="00083106">
              <w:t>Portland Convention &amp; Visitors Bureau</w:t>
            </w:r>
            <w:r w:rsidR="00556339">
              <w:t>,</w:t>
            </w:r>
            <w:r w:rsidR="004A2AB8">
              <w:t xml:space="preserve"> </w:t>
            </w:r>
            <w:r w:rsidR="003B3AF6">
              <w:t>Sea Dogs</w:t>
            </w:r>
            <w:r w:rsidR="00556339">
              <w:t xml:space="preserve"> &amp; other helpful community entities</w:t>
            </w:r>
          </w:p>
        </w:tc>
        <w:tc>
          <w:tcPr>
            <w:tcW w:w="1175" w:type="dxa"/>
            <w:shd w:val="clear" w:color="auto" w:fill="FFFFFF" w:themeFill="background1"/>
          </w:tcPr>
          <w:p w:rsidR="00AD1AB2" w:rsidRDefault="00556339" w:rsidP="00EC0C8F">
            <w:r>
              <w:t>“ “</w:t>
            </w:r>
          </w:p>
        </w:tc>
        <w:tc>
          <w:tcPr>
            <w:tcW w:w="1113" w:type="dxa"/>
            <w:shd w:val="clear" w:color="auto" w:fill="FFFFFF" w:themeFill="background1"/>
          </w:tcPr>
          <w:p w:rsidR="00AD1AB2" w:rsidRDefault="00AD1AB2" w:rsidP="00EC0C8F"/>
        </w:tc>
        <w:tc>
          <w:tcPr>
            <w:tcW w:w="1496" w:type="dxa"/>
            <w:shd w:val="clear" w:color="auto" w:fill="FFFFFF" w:themeFill="background1"/>
          </w:tcPr>
          <w:p w:rsidR="00AD1AB2" w:rsidRDefault="00AD1AB2" w:rsidP="00EC0C8F"/>
        </w:tc>
        <w:tc>
          <w:tcPr>
            <w:tcW w:w="1109" w:type="dxa"/>
            <w:shd w:val="clear" w:color="auto" w:fill="FFFFFF" w:themeFill="background1"/>
          </w:tcPr>
          <w:p w:rsidR="00AD1AB2" w:rsidRDefault="00AD1AB2" w:rsidP="00EC0C8F"/>
        </w:tc>
        <w:tc>
          <w:tcPr>
            <w:tcW w:w="1699" w:type="dxa"/>
            <w:shd w:val="clear" w:color="auto" w:fill="FFFFFF" w:themeFill="background1"/>
          </w:tcPr>
          <w:p w:rsidR="00AD1AB2" w:rsidRDefault="00AD1AB2" w:rsidP="00EC0C8F">
            <w:r>
              <w:t>Visual item they can run April-July</w:t>
            </w:r>
          </w:p>
        </w:tc>
      </w:tr>
      <w:tr w:rsidR="00083106" w:rsidTr="003B3AF6">
        <w:trPr>
          <w:trHeight w:val="290"/>
        </w:trPr>
        <w:tc>
          <w:tcPr>
            <w:tcW w:w="1231" w:type="dxa"/>
            <w:shd w:val="clear" w:color="auto" w:fill="FFFFFF" w:themeFill="background1"/>
          </w:tcPr>
          <w:p w:rsidR="00083106" w:rsidRDefault="00083106" w:rsidP="00EC0C8F"/>
        </w:tc>
        <w:tc>
          <w:tcPr>
            <w:tcW w:w="631" w:type="dxa"/>
            <w:shd w:val="clear" w:color="auto" w:fill="FFFFFF" w:themeFill="background1"/>
          </w:tcPr>
          <w:p w:rsidR="00083106" w:rsidRDefault="00083106" w:rsidP="00EC0C8F">
            <w:r>
              <w:t>2f</w:t>
            </w:r>
          </w:p>
        </w:tc>
        <w:tc>
          <w:tcPr>
            <w:tcW w:w="2014" w:type="dxa"/>
            <w:shd w:val="clear" w:color="auto" w:fill="FFFFFF" w:themeFill="background1"/>
          </w:tcPr>
          <w:p w:rsidR="00083106" w:rsidRDefault="00083106" w:rsidP="00083106">
            <w:r>
              <w:t>Boosted Facebook post</w:t>
            </w:r>
          </w:p>
        </w:tc>
        <w:tc>
          <w:tcPr>
            <w:tcW w:w="1175" w:type="dxa"/>
            <w:shd w:val="clear" w:color="auto" w:fill="FFFFFF" w:themeFill="background1"/>
          </w:tcPr>
          <w:p w:rsidR="00083106" w:rsidRDefault="00556339" w:rsidP="00EC0C8F">
            <w:r>
              <w:t>“ “</w:t>
            </w:r>
          </w:p>
        </w:tc>
        <w:tc>
          <w:tcPr>
            <w:tcW w:w="1113" w:type="dxa"/>
            <w:shd w:val="clear" w:color="auto" w:fill="FFFFFF" w:themeFill="background1"/>
          </w:tcPr>
          <w:p w:rsidR="00083106" w:rsidRDefault="00083106" w:rsidP="00EC0C8F"/>
        </w:tc>
        <w:tc>
          <w:tcPr>
            <w:tcW w:w="1496" w:type="dxa"/>
            <w:shd w:val="clear" w:color="auto" w:fill="FFFFFF" w:themeFill="background1"/>
          </w:tcPr>
          <w:p w:rsidR="00083106" w:rsidRDefault="00083106" w:rsidP="00EC0C8F"/>
        </w:tc>
        <w:tc>
          <w:tcPr>
            <w:tcW w:w="1109" w:type="dxa"/>
            <w:shd w:val="clear" w:color="auto" w:fill="FFFFFF" w:themeFill="background1"/>
          </w:tcPr>
          <w:p w:rsidR="00083106" w:rsidRDefault="00083106" w:rsidP="00EC0C8F"/>
        </w:tc>
        <w:tc>
          <w:tcPr>
            <w:tcW w:w="1699" w:type="dxa"/>
            <w:shd w:val="clear" w:color="auto" w:fill="FFFFFF" w:themeFill="background1"/>
          </w:tcPr>
          <w:p w:rsidR="00083106" w:rsidRDefault="00083106" w:rsidP="00083106">
            <w:r>
              <w:t>Week of April 30; Focus on Congress Closure uses image to spread far, align with the City to support</w:t>
            </w:r>
          </w:p>
        </w:tc>
      </w:tr>
      <w:tr w:rsidR="00083106" w:rsidTr="003B3AF6">
        <w:trPr>
          <w:trHeight w:val="290"/>
        </w:trPr>
        <w:tc>
          <w:tcPr>
            <w:tcW w:w="1231" w:type="dxa"/>
            <w:shd w:val="clear" w:color="auto" w:fill="FFFFFF" w:themeFill="background1"/>
          </w:tcPr>
          <w:p w:rsidR="00083106" w:rsidRDefault="00083106" w:rsidP="00EC0C8F"/>
        </w:tc>
        <w:tc>
          <w:tcPr>
            <w:tcW w:w="631" w:type="dxa"/>
            <w:shd w:val="clear" w:color="auto" w:fill="FFFFFF" w:themeFill="background1"/>
          </w:tcPr>
          <w:p w:rsidR="00083106" w:rsidRDefault="00083106" w:rsidP="00EC0C8F">
            <w:r>
              <w:t>2g</w:t>
            </w:r>
          </w:p>
        </w:tc>
        <w:tc>
          <w:tcPr>
            <w:tcW w:w="2014" w:type="dxa"/>
            <w:shd w:val="clear" w:color="auto" w:fill="FFFFFF" w:themeFill="background1"/>
          </w:tcPr>
          <w:p w:rsidR="00083106" w:rsidRDefault="00083106" w:rsidP="00083106">
            <w:r>
              <w:t xml:space="preserve">City ‘alert’ to parking ban list (16,000) </w:t>
            </w:r>
          </w:p>
        </w:tc>
        <w:tc>
          <w:tcPr>
            <w:tcW w:w="1175" w:type="dxa"/>
            <w:shd w:val="clear" w:color="auto" w:fill="FFFFFF" w:themeFill="background1"/>
          </w:tcPr>
          <w:p w:rsidR="00083106" w:rsidRDefault="00556339" w:rsidP="00EC0C8F">
            <w:r>
              <w:t>“ “</w:t>
            </w:r>
          </w:p>
        </w:tc>
        <w:tc>
          <w:tcPr>
            <w:tcW w:w="1113" w:type="dxa"/>
            <w:shd w:val="clear" w:color="auto" w:fill="FFFFFF" w:themeFill="background1"/>
          </w:tcPr>
          <w:p w:rsidR="00083106" w:rsidRDefault="00083106" w:rsidP="00EC0C8F"/>
        </w:tc>
        <w:tc>
          <w:tcPr>
            <w:tcW w:w="1496" w:type="dxa"/>
            <w:shd w:val="clear" w:color="auto" w:fill="FFFFFF" w:themeFill="background1"/>
          </w:tcPr>
          <w:p w:rsidR="00083106" w:rsidRDefault="00083106" w:rsidP="00EC0C8F"/>
        </w:tc>
        <w:tc>
          <w:tcPr>
            <w:tcW w:w="1109" w:type="dxa"/>
            <w:shd w:val="clear" w:color="auto" w:fill="FFFFFF" w:themeFill="background1"/>
          </w:tcPr>
          <w:p w:rsidR="00083106" w:rsidRDefault="00083106" w:rsidP="00EC0C8F"/>
        </w:tc>
        <w:tc>
          <w:tcPr>
            <w:tcW w:w="1699" w:type="dxa"/>
            <w:shd w:val="clear" w:color="auto" w:fill="FFFFFF" w:themeFill="background1"/>
          </w:tcPr>
          <w:p w:rsidR="00083106" w:rsidRPr="005210DA" w:rsidRDefault="00083106" w:rsidP="00083106">
            <w:pPr>
              <w:rPr>
                <w:color w:val="FF0000"/>
              </w:rPr>
            </w:pPr>
            <w:r w:rsidRPr="005210DA">
              <w:rPr>
                <w:color w:val="FF0000"/>
              </w:rPr>
              <w:t>Need to discuss with the City</w:t>
            </w:r>
          </w:p>
        </w:tc>
      </w:tr>
      <w:tr w:rsidR="003B3AF6" w:rsidTr="003B3AF6">
        <w:trPr>
          <w:trHeight w:val="290"/>
        </w:trPr>
        <w:tc>
          <w:tcPr>
            <w:tcW w:w="1231" w:type="dxa"/>
            <w:shd w:val="clear" w:color="auto" w:fill="FFFFFF" w:themeFill="background1"/>
          </w:tcPr>
          <w:p w:rsidR="003B3AF6" w:rsidRDefault="003B3AF6" w:rsidP="00EC0C8F"/>
        </w:tc>
        <w:tc>
          <w:tcPr>
            <w:tcW w:w="631" w:type="dxa"/>
            <w:shd w:val="clear" w:color="auto" w:fill="FFFFFF" w:themeFill="background1"/>
          </w:tcPr>
          <w:p w:rsidR="003B3AF6" w:rsidRDefault="003B3AF6" w:rsidP="00EC0C8F">
            <w:r>
              <w:t>2h</w:t>
            </w:r>
          </w:p>
        </w:tc>
        <w:tc>
          <w:tcPr>
            <w:tcW w:w="2014" w:type="dxa"/>
            <w:shd w:val="clear" w:color="auto" w:fill="FFFFFF" w:themeFill="background1"/>
          </w:tcPr>
          <w:p w:rsidR="003B3AF6" w:rsidRDefault="003B3AF6" w:rsidP="00083106">
            <w:r>
              <w:t>Joint City / MMC Press Conference?</w:t>
            </w:r>
          </w:p>
        </w:tc>
        <w:tc>
          <w:tcPr>
            <w:tcW w:w="1175" w:type="dxa"/>
            <w:shd w:val="clear" w:color="auto" w:fill="FFFFFF" w:themeFill="background1"/>
          </w:tcPr>
          <w:p w:rsidR="003B3AF6" w:rsidRDefault="00556339" w:rsidP="00EC0C8F">
            <w:r>
              <w:t>“ “</w:t>
            </w:r>
          </w:p>
        </w:tc>
        <w:tc>
          <w:tcPr>
            <w:tcW w:w="1113" w:type="dxa"/>
            <w:shd w:val="clear" w:color="auto" w:fill="FFFFFF" w:themeFill="background1"/>
          </w:tcPr>
          <w:p w:rsidR="003B3AF6" w:rsidRDefault="003B3AF6" w:rsidP="00EC0C8F"/>
        </w:tc>
        <w:tc>
          <w:tcPr>
            <w:tcW w:w="1496" w:type="dxa"/>
            <w:shd w:val="clear" w:color="auto" w:fill="FFFFFF" w:themeFill="background1"/>
          </w:tcPr>
          <w:p w:rsidR="003B3AF6" w:rsidRDefault="003B3AF6" w:rsidP="00EC0C8F"/>
        </w:tc>
        <w:tc>
          <w:tcPr>
            <w:tcW w:w="1109" w:type="dxa"/>
            <w:shd w:val="clear" w:color="auto" w:fill="FFFFFF" w:themeFill="background1"/>
          </w:tcPr>
          <w:p w:rsidR="003B3AF6" w:rsidRDefault="003B3AF6" w:rsidP="00EC0C8F"/>
        </w:tc>
        <w:tc>
          <w:tcPr>
            <w:tcW w:w="1699" w:type="dxa"/>
            <w:shd w:val="clear" w:color="auto" w:fill="FFFFFF" w:themeFill="background1"/>
          </w:tcPr>
          <w:p w:rsidR="003B3AF6" w:rsidRPr="005210DA" w:rsidRDefault="003B3AF6" w:rsidP="00083106">
            <w:pPr>
              <w:rPr>
                <w:color w:val="FF0000"/>
              </w:rPr>
            </w:pPr>
            <w:r w:rsidRPr="005210DA">
              <w:rPr>
                <w:color w:val="FF0000"/>
              </w:rPr>
              <w:t>Need to discuss with the City.</w:t>
            </w:r>
          </w:p>
        </w:tc>
      </w:tr>
      <w:tr w:rsidR="00010258" w:rsidTr="003B3AF6">
        <w:trPr>
          <w:trHeight w:val="290"/>
        </w:trPr>
        <w:tc>
          <w:tcPr>
            <w:tcW w:w="1231" w:type="dxa"/>
            <w:shd w:val="clear" w:color="auto" w:fill="B4C6E7" w:themeFill="accent5" w:themeFillTint="66"/>
          </w:tcPr>
          <w:p w:rsidR="00010258" w:rsidRDefault="00010258" w:rsidP="00EC0C8F">
            <w:r>
              <w:t>Ground Breaking Ceremony</w:t>
            </w:r>
          </w:p>
        </w:tc>
        <w:tc>
          <w:tcPr>
            <w:tcW w:w="631" w:type="dxa"/>
            <w:shd w:val="clear" w:color="auto" w:fill="B4C6E7" w:themeFill="accent5" w:themeFillTint="66"/>
          </w:tcPr>
          <w:p w:rsidR="00010258" w:rsidRDefault="00010258" w:rsidP="00EC0C8F">
            <w:r>
              <w:t>3</w:t>
            </w:r>
          </w:p>
        </w:tc>
        <w:tc>
          <w:tcPr>
            <w:tcW w:w="2014" w:type="dxa"/>
            <w:shd w:val="clear" w:color="auto" w:fill="B4C6E7" w:themeFill="accent5" w:themeFillTint="66"/>
          </w:tcPr>
          <w:p w:rsidR="00010258" w:rsidRDefault="00010258" w:rsidP="00083106"/>
        </w:tc>
        <w:tc>
          <w:tcPr>
            <w:tcW w:w="1175" w:type="dxa"/>
            <w:shd w:val="clear" w:color="auto" w:fill="B4C6E7" w:themeFill="accent5" w:themeFillTint="66"/>
          </w:tcPr>
          <w:p w:rsidR="00010258" w:rsidRDefault="00010258" w:rsidP="00EC0C8F"/>
        </w:tc>
        <w:tc>
          <w:tcPr>
            <w:tcW w:w="1113" w:type="dxa"/>
            <w:shd w:val="clear" w:color="auto" w:fill="B4C6E7" w:themeFill="accent5" w:themeFillTint="66"/>
          </w:tcPr>
          <w:p w:rsidR="00010258" w:rsidRDefault="00010258" w:rsidP="00EC0C8F"/>
        </w:tc>
        <w:tc>
          <w:tcPr>
            <w:tcW w:w="1496" w:type="dxa"/>
            <w:shd w:val="clear" w:color="auto" w:fill="B4C6E7" w:themeFill="accent5" w:themeFillTint="66"/>
          </w:tcPr>
          <w:p w:rsidR="00010258" w:rsidRDefault="00010258" w:rsidP="00EC0C8F"/>
        </w:tc>
        <w:tc>
          <w:tcPr>
            <w:tcW w:w="1109" w:type="dxa"/>
            <w:shd w:val="clear" w:color="auto" w:fill="B4C6E7" w:themeFill="accent5" w:themeFillTint="66"/>
          </w:tcPr>
          <w:p w:rsidR="00010258" w:rsidRDefault="00010258" w:rsidP="00EC0C8F"/>
        </w:tc>
        <w:tc>
          <w:tcPr>
            <w:tcW w:w="1699" w:type="dxa"/>
            <w:shd w:val="clear" w:color="auto" w:fill="B4C6E7" w:themeFill="accent5" w:themeFillTint="66"/>
          </w:tcPr>
          <w:p w:rsidR="00010258" w:rsidRDefault="00010258" w:rsidP="00083106"/>
        </w:tc>
      </w:tr>
      <w:tr w:rsidR="00010258" w:rsidTr="003B3AF6">
        <w:trPr>
          <w:trHeight w:val="290"/>
        </w:trPr>
        <w:tc>
          <w:tcPr>
            <w:tcW w:w="1231" w:type="dxa"/>
            <w:shd w:val="clear" w:color="auto" w:fill="FFFFFF" w:themeFill="background1"/>
          </w:tcPr>
          <w:p w:rsidR="00010258" w:rsidRDefault="00010258" w:rsidP="00EC0C8F"/>
        </w:tc>
        <w:tc>
          <w:tcPr>
            <w:tcW w:w="631" w:type="dxa"/>
            <w:shd w:val="clear" w:color="auto" w:fill="FFFFFF" w:themeFill="background1"/>
          </w:tcPr>
          <w:p w:rsidR="00010258" w:rsidRDefault="00010258" w:rsidP="00EC0C8F">
            <w:r>
              <w:t>3a</w:t>
            </w:r>
          </w:p>
        </w:tc>
        <w:tc>
          <w:tcPr>
            <w:tcW w:w="2014" w:type="dxa"/>
            <w:shd w:val="clear" w:color="auto" w:fill="FFFFFF" w:themeFill="background1"/>
          </w:tcPr>
          <w:p w:rsidR="00010258" w:rsidRDefault="00010258" w:rsidP="00083106">
            <w:r>
              <w:t xml:space="preserve">Ceremony participants / attendees to involve internal, trustees, city officials, neighborhood reps </w:t>
            </w:r>
          </w:p>
        </w:tc>
        <w:tc>
          <w:tcPr>
            <w:tcW w:w="1175" w:type="dxa"/>
            <w:shd w:val="clear" w:color="auto" w:fill="FFFFFF" w:themeFill="background1"/>
          </w:tcPr>
          <w:p w:rsidR="00010258" w:rsidRDefault="00010258" w:rsidP="00EC0C8F"/>
        </w:tc>
        <w:tc>
          <w:tcPr>
            <w:tcW w:w="1113" w:type="dxa"/>
            <w:shd w:val="clear" w:color="auto" w:fill="FFFFFF" w:themeFill="background1"/>
          </w:tcPr>
          <w:p w:rsidR="00010258" w:rsidRDefault="00010258" w:rsidP="00EC0C8F"/>
        </w:tc>
        <w:tc>
          <w:tcPr>
            <w:tcW w:w="1496" w:type="dxa"/>
            <w:shd w:val="clear" w:color="auto" w:fill="FFFFFF" w:themeFill="background1"/>
          </w:tcPr>
          <w:p w:rsidR="00010258" w:rsidRDefault="00010258" w:rsidP="00EC0C8F">
            <w:r>
              <w:t>Sue D., Matt W.</w:t>
            </w:r>
          </w:p>
        </w:tc>
        <w:tc>
          <w:tcPr>
            <w:tcW w:w="1109" w:type="dxa"/>
            <w:shd w:val="clear" w:color="auto" w:fill="FFFFFF" w:themeFill="background1"/>
          </w:tcPr>
          <w:p w:rsidR="00010258" w:rsidRDefault="00010258" w:rsidP="00EC0C8F"/>
        </w:tc>
        <w:tc>
          <w:tcPr>
            <w:tcW w:w="1699" w:type="dxa"/>
            <w:shd w:val="clear" w:color="auto" w:fill="FFFFFF" w:themeFill="background1"/>
          </w:tcPr>
          <w:p w:rsidR="00010258" w:rsidRDefault="00010258" w:rsidP="00083106">
            <w:r>
              <w:t xml:space="preserve">Philanthropy has lead; </w:t>
            </w:r>
            <w:proofErr w:type="spellStart"/>
            <w:r>
              <w:t>Comms</w:t>
            </w:r>
            <w:proofErr w:type="spellEnd"/>
            <w:r>
              <w:t xml:space="preserve"> coordinating with for separate communications and media plan</w:t>
            </w:r>
          </w:p>
        </w:tc>
      </w:tr>
      <w:tr w:rsidR="00010258" w:rsidTr="003B3AF6">
        <w:trPr>
          <w:trHeight w:val="290"/>
        </w:trPr>
        <w:tc>
          <w:tcPr>
            <w:tcW w:w="1231" w:type="dxa"/>
            <w:shd w:val="clear" w:color="auto" w:fill="FFFFFF" w:themeFill="background1"/>
          </w:tcPr>
          <w:p w:rsidR="00010258" w:rsidRDefault="00010258" w:rsidP="00EC0C8F"/>
        </w:tc>
        <w:tc>
          <w:tcPr>
            <w:tcW w:w="631" w:type="dxa"/>
            <w:shd w:val="clear" w:color="auto" w:fill="FFFFFF" w:themeFill="background1"/>
          </w:tcPr>
          <w:p w:rsidR="00010258" w:rsidRDefault="00010258" w:rsidP="00EC0C8F"/>
        </w:tc>
        <w:tc>
          <w:tcPr>
            <w:tcW w:w="2014" w:type="dxa"/>
            <w:shd w:val="clear" w:color="auto" w:fill="FFFFFF" w:themeFill="background1"/>
          </w:tcPr>
          <w:p w:rsidR="00010258" w:rsidRDefault="00010258" w:rsidP="00083106"/>
        </w:tc>
        <w:tc>
          <w:tcPr>
            <w:tcW w:w="1175" w:type="dxa"/>
            <w:shd w:val="clear" w:color="auto" w:fill="FFFFFF" w:themeFill="background1"/>
          </w:tcPr>
          <w:p w:rsidR="00010258" w:rsidRDefault="00010258" w:rsidP="00EC0C8F"/>
        </w:tc>
        <w:tc>
          <w:tcPr>
            <w:tcW w:w="1113" w:type="dxa"/>
            <w:shd w:val="clear" w:color="auto" w:fill="FFFFFF" w:themeFill="background1"/>
          </w:tcPr>
          <w:p w:rsidR="00010258" w:rsidRDefault="00010258" w:rsidP="00EC0C8F"/>
        </w:tc>
        <w:tc>
          <w:tcPr>
            <w:tcW w:w="1496" w:type="dxa"/>
            <w:shd w:val="clear" w:color="auto" w:fill="FFFFFF" w:themeFill="background1"/>
          </w:tcPr>
          <w:p w:rsidR="00010258" w:rsidRDefault="00010258" w:rsidP="00EC0C8F"/>
        </w:tc>
        <w:tc>
          <w:tcPr>
            <w:tcW w:w="1109" w:type="dxa"/>
            <w:shd w:val="clear" w:color="auto" w:fill="FFFFFF" w:themeFill="background1"/>
          </w:tcPr>
          <w:p w:rsidR="00010258" w:rsidRDefault="00010258" w:rsidP="00EC0C8F"/>
        </w:tc>
        <w:tc>
          <w:tcPr>
            <w:tcW w:w="1699" w:type="dxa"/>
            <w:shd w:val="clear" w:color="auto" w:fill="FFFFFF" w:themeFill="background1"/>
          </w:tcPr>
          <w:p w:rsidR="00010258" w:rsidRDefault="00010258" w:rsidP="00083106"/>
        </w:tc>
      </w:tr>
      <w:tr w:rsidR="008F5994" w:rsidTr="003B3AF6">
        <w:trPr>
          <w:trHeight w:val="290"/>
        </w:trPr>
        <w:tc>
          <w:tcPr>
            <w:tcW w:w="1231" w:type="dxa"/>
            <w:shd w:val="clear" w:color="auto" w:fill="B4C6E7" w:themeFill="accent5" w:themeFillTint="66"/>
          </w:tcPr>
          <w:p w:rsidR="008F5994" w:rsidRDefault="008F5994" w:rsidP="00EC0C8F">
            <w:r>
              <w:t>Site Plan 2 Approval</w:t>
            </w:r>
          </w:p>
        </w:tc>
        <w:tc>
          <w:tcPr>
            <w:tcW w:w="631" w:type="dxa"/>
            <w:shd w:val="clear" w:color="auto" w:fill="B4C6E7" w:themeFill="accent5" w:themeFillTint="66"/>
          </w:tcPr>
          <w:p w:rsidR="008F5994" w:rsidRDefault="008F5994" w:rsidP="00EC0C8F">
            <w:r>
              <w:t>4</w:t>
            </w:r>
          </w:p>
        </w:tc>
        <w:tc>
          <w:tcPr>
            <w:tcW w:w="2014" w:type="dxa"/>
            <w:shd w:val="clear" w:color="auto" w:fill="B4C6E7" w:themeFill="accent5" w:themeFillTint="66"/>
          </w:tcPr>
          <w:p w:rsidR="008F5994" w:rsidRDefault="008F5994" w:rsidP="00EC0C8F"/>
        </w:tc>
        <w:tc>
          <w:tcPr>
            <w:tcW w:w="1175" w:type="dxa"/>
            <w:shd w:val="clear" w:color="auto" w:fill="B4C6E7" w:themeFill="accent5" w:themeFillTint="66"/>
          </w:tcPr>
          <w:p w:rsidR="008F5994" w:rsidRDefault="008F5994" w:rsidP="00EC0C8F"/>
        </w:tc>
        <w:tc>
          <w:tcPr>
            <w:tcW w:w="1113" w:type="dxa"/>
            <w:shd w:val="clear" w:color="auto" w:fill="B4C6E7" w:themeFill="accent5" w:themeFillTint="66"/>
          </w:tcPr>
          <w:p w:rsidR="008F5994" w:rsidRDefault="008F5994" w:rsidP="00EC0C8F"/>
        </w:tc>
        <w:tc>
          <w:tcPr>
            <w:tcW w:w="1496" w:type="dxa"/>
            <w:shd w:val="clear" w:color="auto" w:fill="B4C6E7" w:themeFill="accent5" w:themeFillTint="66"/>
          </w:tcPr>
          <w:p w:rsidR="008F5994" w:rsidRDefault="008F5994" w:rsidP="00EC0C8F"/>
        </w:tc>
        <w:tc>
          <w:tcPr>
            <w:tcW w:w="1109" w:type="dxa"/>
            <w:shd w:val="clear" w:color="auto" w:fill="B4C6E7" w:themeFill="accent5" w:themeFillTint="66"/>
          </w:tcPr>
          <w:p w:rsidR="008F5994" w:rsidRDefault="008F5994" w:rsidP="00EC0C8F"/>
        </w:tc>
        <w:tc>
          <w:tcPr>
            <w:tcW w:w="1699" w:type="dxa"/>
            <w:shd w:val="clear" w:color="auto" w:fill="B4C6E7" w:themeFill="accent5" w:themeFillTint="66"/>
          </w:tcPr>
          <w:p w:rsidR="008F5994" w:rsidRDefault="008F5994" w:rsidP="00EC0C8F">
            <w:r>
              <w:rPr>
                <w:b/>
                <w:color w:val="FF0000"/>
              </w:rPr>
              <w:t>June?</w:t>
            </w:r>
          </w:p>
        </w:tc>
      </w:tr>
      <w:tr w:rsidR="008F5994" w:rsidTr="003B3AF6">
        <w:trPr>
          <w:trHeight w:val="290"/>
        </w:trPr>
        <w:tc>
          <w:tcPr>
            <w:tcW w:w="1231" w:type="dxa"/>
          </w:tcPr>
          <w:p w:rsidR="008F5994" w:rsidRDefault="008F5994" w:rsidP="00EC0C8F"/>
        </w:tc>
        <w:tc>
          <w:tcPr>
            <w:tcW w:w="631" w:type="dxa"/>
          </w:tcPr>
          <w:p w:rsidR="008F5994" w:rsidRDefault="008F5994" w:rsidP="00EC0C8F">
            <w:r>
              <w:t>4a</w:t>
            </w:r>
          </w:p>
        </w:tc>
        <w:tc>
          <w:tcPr>
            <w:tcW w:w="2014" w:type="dxa"/>
          </w:tcPr>
          <w:p w:rsidR="008F5994" w:rsidRDefault="008F5994" w:rsidP="00EC0C8F">
            <w:r>
              <w:t>All-employee email</w:t>
            </w:r>
          </w:p>
        </w:tc>
        <w:tc>
          <w:tcPr>
            <w:tcW w:w="1175" w:type="dxa"/>
          </w:tcPr>
          <w:p w:rsidR="008F5994" w:rsidRDefault="008F5994" w:rsidP="00EC0C8F"/>
        </w:tc>
        <w:tc>
          <w:tcPr>
            <w:tcW w:w="1113" w:type="dxa"/>
          </w:tcPr>
          <w:p w:rsidR="008F5994" w:rsidRDefault="008F5994" w:rsidP="00EC0C8F"/>
        </w:tc>
        <w:tc>
          <w:tcPr>
            <w:tcW w:w="1496" w:type="dxa"/>
          </w:tcPr>
          <w:p w:rsidR="008F5994" w:rsidRDefault="008F5994" w:rsidP="00EC0C8F"/>
        </w:tc>
        <w:tc>
          <w:tcPr>
            <w:tcW w:w="1109" w:type="dxa"/>
          </w:tcPr>
          <w:p w:rsidR="008F5994" w:rsidRDefault="008F5994" w:rsidP="00EC0C8F"/>
        </w:tc>
        <w:tc>
          <w:tcPr>
            <w:tcW w:w="1699" w:type="dxa"/>
          </w:tcPr>
          <w:p w:rsidR="008F5994" w:rsidRDefault="008F5994" w:rsidP="00EC0C8F"/>
        </w:tc>
      </w:tr>
      <w:tr w:rsidR="008F5994" w:rsidTr="003B3AF6">
        <w:trPr>
          <w:trHeight w:val="290"/>
        </w:trPr>
        <w:tc>
          <w:tcPr>
            <w:tcW w:w="1231" w:type="dxa"/>
          </w:tcPr>
          <w:p w:rsidR="008F5994" w:rsidRDefault="008F5994" w:rsidP="00EC0C8F"/>
        </w:tc>
        <w:tc>
          <w:tcPr>
            <w:tcW w:w="631" w:type="dxa"/>
          </w:tcPr>
          <w:p w:rsidR="008F5994" w:rsidRDefault="008F5994" w:rsidP="00EC0C8F">
            <w:r>
              <w:t>4b</w:t>
            </w:r>
          </w:p>
        </w:tc>
        <w:tc>
          <w:tcPr>
            <w:tcW w:w="2014" w:type="dxa"/>
          </w:tcPr>
          <w:p w:rsidR="008F5994" w:rsidRDefault="008F5994" w:rsidP="00EC0C8F">
            <w:r>
              <w:t>Press Release</w:t>
            </w:r>
          </w:p>
        </w:tc>
        <w:tc>
          <w:tcPr>
            <w:tcW w:w="1175" w:type="dxa"/>
          </w:tcPr>
          <w:p w:rsidR="008F5994" w:rsidRDefault="008F5994" w:rsidP="00EC0C8F"/>
        </w:tc>
        <w:tc>
          <w:tcPr>
            <w:tcW w:w="1113" w:type="dxa"/>
          </w:tcPr>
          <w:p w:rsidR="008F5994" w:rsidRDefault="008F5994" w:rsidP="00EC0C8F"/>
        </w:tc>
        <w:tc>
          <w:tcPr>
            <w:tcW w:w="1496" w:type="dxa"/>
          </w:tcPr>
          <w:p w:rsidR="008F5994" w:rsidRDefault="008F5994" w:rsidP="00EC0C8F"/>
        </w:tc>
        <w:tc>
          <w:tcPr>
            <w:tcW w:w="1109" w:type="dxa"/>
          </w:tcPr>
          <w:p w:rsidR="008F5994" w:rsidRDefault="008F5994" w:rsidP="00EC0C8F"/>
        </w:tc>
        <w:tc>
          <w:tcPr>
            <w:tcW w:w="1699" w:type="dxa"/>
          </w:tcPr>
          <w:p w:rsidR="008F5994" w:rsidRDefault="008F5994" w:rsidP="00EC0C8F"/>
        </w:tc>
      </w:tr>
    </w:tbl>
    <w:p w:rsidR="003B3AF6" w:rsidRDefault="003B3AF6" w:rsidP="008969F1">
      <w:pPr>
        <w:sectPr w:rsidR="003B3AF6" w:rsidSect="00EC0C8F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B3AF6" w:rsidRDefault="003B3AF6" w:rsidP="008969F1">
      <w:r w:rsidRPr="003B3AF6">
        <w:rPr>
          <w:b/>
        </w:rPr>
        <w:lastRenderedPageBreak/>
        <w:t>Note:</w:t>
      </w:r>
      <w:r>
        <w:t xml:space="preserve"> </w:t>
      </w:r>
      <w:r w:rsidR="008969F1">
        <w:t xml:space="preserve">Other Construction updates will be communicated as needed throughout the period, using appropriate </w:t>
      </w:r>
      <w:r w:rsidR="00010258">
        <w:t>vehicles such as social and earned media.</w:t>
      </w:r>
    </w:p>
    <w:p w:rsidR="003B3AF6" w:rsidRDefault="003B3AF6" w:rsidP="008969F1">
      <w:pPr>
        <w:rPr>
          <w:b/>
        </w:rPr>
      </w:pPr>
      <w:r>
        <w:rPr>
          <w:b/>
        </w:rPr>
        <w:t>Creative</w:t>
      </w:r>
    </w:p>
    <w:p w:rsidR="003B3AF6" w:rsidRPr="004A2AB8" w:rsidRDefault="003B3AF6" w:rsidP="003B3AF6">
      <w:pPr>
        <w:pStyle w:val="ListParagraph"/>
        <w:numPr>
          <w:ilvl w:val="0"/>
          <w:numId w:val="12"/>
        </w:numPr>
      </w:pPr>
      <w:r w:rsidRPr="004A2AB8">
        <w:t>Use Slugger in FB Message or other capacity? Video?</w:t>
      </w:r>
    </w:p>
    <w:p w:rsidR="00EC0C8F" w:rsidRDefault="003B3AF6" w:rsidP="00EC0C8F">
      <w:pPr>
        <w:pStyle w:val="ListParagraph"/>
        <w:numPr>
          <w:ilvl w:val="0"/>
          <w:numId w:val="12"/>
        </w:numPr>
      </w:pPr>
      <w:r w:rsidRPr="004A2AB8">
        <w:t>Use humor for Social Messaging to extend sharing and reach; “The Road to Recovery Starts Here,” “A Turn for the Better,” “(Eye Chart) – If You Can Read This, You Can Follow Our Detour”</w:t>
      </w:r>
    </w:p>
    <w:p w:rsidR="00EC0C8F" w:rsidRDefault="00EC0C8F" w:rsidP="00EC0C8F">
      <w:pPr>
        <w:pStyle w:val="ListParagraph"/>
        <w:numPr>
          <w:ilvl w:val="0"/>
          <w:numId w:val="12"/>
        </w:numPr>
      </w:pPr>
      <w:r>
        <w:t>Name the Crane</w:t>
      </w:r>
    </w:p>
    <w:p w:rsidR="00EC0C8F" w:rsidRDefault="00EC0C8F" w:rsidP="00EC0C8F">
      <w:pPr>
        <w:pStyle w:val="ListParagraph"/>
        <w:numPr>
          <w:ilvl w:val="0"/>
          <w:numId w:val="12"/>
        </w:numPr>
      </w:pPr>
      <w:r>
        <w:t>Get BBCH Kids involved</w:t>
      </w:r>
    </w:p>
    <w:p w:rsidR="00EC0C8F" w:rsidRDefault="00EC0C8F" w:rsidP="00EC0C8F"/>
    <w:p w:rsidR="00EC0C8F" w:rsidRPr="00EC0C8F" w:rsidRDefault="00EC0C8F" w:rsidP="00EC0C8F">
      <w:pPr>
        <w:sectPr w:rsidR="00EC0C8F" w:rsidRPr="00EC0C8F" w:rsidSect="00EC0C8F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E7428B" w:rsidRPr="008969F1" w:rsidRDefault="00E7428B" w:rsidP="005210DA"/>
    <w:sectPr w:rsidR="00E7428B" w:rsidRPr="008969F1" w:rsidSect="00EC0C8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8F" w:rsidRDefault="00EC0C8F" w:rsidP="008969F1">
      <w:pPr>
        <w:spacing w:after="0" w:line="240" w:lineRule="auto"/>
      </w:pPr>
      <w:r>
        <w:separator/>
      </w:r>
    </w:p>
  </w:endnote>
  <w:endnote w:type="continuationSeparator" w:id="0">
    <w:p w:rsidR="00EC0C8F" w:rsidRDefault="00EC0C8F" w:rsidP="0089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85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C8F" w:rsidRDefault="00EC0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9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0C8F" w:rsidRDefault="00EC0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8F" w:rsidRDefault="00EC0C8F" w:rsidP="008969F1">
      <w:pPr>
        <w:spacing w:after="0" w:line="240" w:lineRule="auto"/>
      </w:pPr>
      <w:r>
        <w:separator/>
      </w:r>
    </w:p>
  </w:footnote>
  <w:footnote w:type="continuationSeparator" w:id="0">
    <w:p w:rsidR="00EC0C8F" w:rsidRDefault="00EC0C8F" w:rsidP="0089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Ind w:w="18" w:type="dxa"/>
      <w:tblLayout w:type="fixed"/>
      <w:tblLook w:val="04A0" w:firstRow="1" w:lastRow="0" w:firstColumn="1" w:lastColumn="0" w:noHBand="0" w:noVBand="1"/>
    </w:tblPr>
    <w:tblGrid>
      <w:gridCol w:w="1260"/>
      <w:gridCol w:w="631"/>
      <w:gridCol w:w="2429"/>
      <w:gridCol w:w="900"/>
      <w:gridCol w:w="1170"/>
      <w:gridCol w:w="1440"/>
      <w:gridCol w:w="1170"/>
      <w:gridCol w:w="1440"/>
    </w:tblGrid>
    <w:tr w:rsidR="00EC0C8F" w:rsidTr="00EC0C8F">
      <w:trPr>
        <w:trHeight w:val="290"/>
      </w:trPr>
      <w:tc>
        <w:tcPr>
          <w:tcW w:w="1260" w:type="dxa"/>
          <w:shd w:val="clear" w:color="auto" w:fill="F2F2F2" w:themeFill="background1" w:themeFillShade="F2"/>
        </w:tcPr>
        <w:p w:rsidR="00EC0C8F" w:rsidRDefault="00EC0C8F" w:rsidP="00EC0C8F">
          <w:r>
            <w:t>Event/Date</w:t>
          </w:r>
        </w:p>
      </w:tc>
      <w:tc>
        <w:tcPr>
          <w:tcW w:w="631" w:type="dxa"/>
          <w:shd w:val="clear" w:color="auto" w:fill="F2F2F2" w:themeFill="background1" w:themeFillShade="F2"/>
        </w:tcPr>
        <w:p w:rsidR="00EC0C8F" w:rsidRDefault="00EC0C8F" w:rsidP="00EC0C8F">
          <w:r>
            <w:t>Item #</w:t>
          </w:r>
        </w:p>
      </w:tc>
      <w:tc>
        <w:tcPr>
          <w:tcW w:w="2429" w:type="dxa"/>
          <w:shd w:val="clear" w:color="auto" w:fill="F2F2F2" w:themeFill="background1" w:themeFillShade="F2"/>
        </w:tcPr>
        <w:p w:rsidR="00EC0C8F" w:rsidRDefault="00EC0C8F" w:rsidP="00EC0C8F">
          <w:r>
            <w:t>Product</w:t>
          </w:r>
        </w:p>
      </w:tc>
      <w:tc>
        <w:tcPr>
          <w:tcW w:w="900" w:type="dxa"/>
          <w:shd w:val="clear" w:color="auto" w:fill="F2F2F2" w:themeFill="background1" w:themeFillShade="F2"/>
        </w:tcPr>
        <w:p w:rsidR="00EC0C8F" w:rsidRDefault="00EC0C8F" w:rsidP="00EC0C8F">
          <w:r>
            <w:t>Copy Due / Run Date</w:t>
          </w:r>
        </w:p>
      </w:tc>
      <w:tc>
        <w:tcPr>
          <w:tcW w:w="1170" w:type="dxa"/>
          <w:shd w:val="clear" w:color="auto" w:fill="F2F2F2" w:themeFill="background1" w:themeFillShade="F2"/>
        </w:tcPr>
        <w:p w:rsidR="00EC0C8F" w:rsidRDefault="00EC0C8F" w:rsidP="00EC0C8F">
          <w:r>
            <w:t>Audience</w:t>
          </w:r>
        </w:p>
      </w:tc>
      <w:tc>
        <w:tcPr>
          <w:tcW w:w="1440" w:type="dxa"/>
          <w:shd w:val="clear" w:color="auto" w:fill="F2F2F2" w:themeFill="background1" w:themeFillShade="F2"/>
        </w:tcPr>
        <w:p w:rsidR="00EC0C8F" w:rsidRPr="004A2CA4" w:rsidRDefault="00EC0C8F" w:rsidP="00EC0C8F">
          <w:pPr>
            <w:rPr>
              <w:sz w:val="20"/>
              <w:szCs w:val="20"/>
            </w:rPr>
          </w:pPr>
          <w:r w:rsidRPr="004A2CA4">
            <w:rPr>
              <w:sz w:val="20"/>
              <w:szCs w:val="20"/>
            </w:rPr>
            <w:t>Accountability</w:t>
          </w:r>
        </w:p>
      </w:tc>
      <w:tc>
        <w:tcPr>
          <w:tcW w:w="1170" w:type="dxa"/>
          <w:shd w:val="clear" w:color="auto" w:fill="F2F2F2" w:themeFill="background1" w:themeFillShade="F2"/>
        </w:tcPr>
        <w:p w:rsidR="00EC0C8F" w:rsidRDefault="00EC0C8F" w:rsidP="00EC0C8F">
          <w:r>
            <w:t>Approvals</w:t>
          </w:r>
        </w:p>
      </w:tc>
      <w:tc>
        <w:tcPr>
          <w:tcW w:w="1440" w:type="dxa"/>
          <w:shd w:val="clear" w:color="auto" w:fill="F2F2F2" w:themeFill="background1" w:themeFillShade="F2"/>
        </w:tcPr>
        <w:p w:rsidR="00EC0C8F" w:rsidRDefault="00EC0C8F" w:rsidP="00EC0C8F">
          <w:r>
            <w:t>Notes/</w:t>
          </w:r>
        </w:p>
        <w:p w:rsidR="00EC0C8F" w:rsidRDefault="00EC0C8F" w:rsidP="00EC0C8F">
          <w:r>
            <w:t>Status</w:t>
          </w:r>
        </w:p>
      </w:tc>
    </w:tr>
  </w:tbl>
  <w:p w:rsidR="00EC0C8F" w:rsidRDefault="00EC0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686"/>
    <w:multiLevelType w:val="hybridMultilevel"/>
    <w:tmpl w:val="82A4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DCA"/>
    <w:multiLevelType w:val="hybridMultilevel"/>
    <w:tmpl w:val="D7AC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40FD"/>
    <w:multiLevelType w:val="hybridMultilevel"/>
    <w:tmpl w:val="82FA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96FE0"/>
    <w:multiLevelType w:val="hybridMultilevel"/>
    <w:tmpl w:val="52CA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749A4"/>
    <w:multiLevelType w:val="hybridMultilevel"/>
    <w:tmpl w:val="C55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B7980"/>
    <w:multiLevelType w:val="hybridMultilevel"/>
    <w:tmpl w:val="24AE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B3310"/>
    <w:multiLevelType w:val="hybridMultilevel"/>
    <w:tmpl w:val="46E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92A45"/>
    <w:multiLevelType w:val="hybridMultilevel"/>
    <w:tmpl w:val="BEE6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37F5C"/>
    <w:multiLevelType w:val="hybridMultilevel"/>
    <w:tmpl w:val="9DC8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16952"/>
    <w:multiLevelType w:val="hybridMultilevel"/>
    <w:tmpl w:val="ABDA5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DB6CC4"/>
    <w:multiLevelType w:val="hybridMultilevel"/>
    <w:tmpl w:val="B81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6037C"/>
    <w:multiLevelType w:val="hybridMultilevel"/>
    <w:tmpl w:val="BA68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y M. Holtzman">
    <w15:presenceInfo w15:providerId="AD" w15:userId="S-1-5-21-964382842-1330588478-199955091-153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A1"/>
    <w:rsid w:val="00010258"/>
    <w:rsid w:val="000472E6"/>
    <w:rsid w:val="00075F59"/>
    <w:rsid w:val="000813FD"/>
    <w:rsid w:val="00083106"/>
    <w:rsid w:val="00180769"/>
    <w:rsid w:val="001C003A"/>
    <w:rsid w:val="001C2B4A"/>
    <w:rsid w:val="003B0627"/>
    <w:rsid w:val="003B0EE2"/>
    <w:rsid w:val="003B3AF6"/>
    <w:rsid w:val="00426BF2"/>
    <w:rsid w:val="004A2AB8"/>
    <w:rsid w:val="005210DA"/>
    <w:rsid w:val="00555944"/>
    <w:rsid w:val="00556339"/>
    <w:rsid w:val="00612EA1"/>
    <w:rsid w:val="00632B8A"/>
    <w:rsid w:val="0064359F"/>
    <w:rsid w:val="006D728F"/>
    <w:rsid w:val="006E706A"/>
    <w:rsid w:val="007D39B8"/>
    <w:rsid w:val="008659B6"/>
    <w:rsid w:val="00887223"/>
    <w:rsid w:val="008969F1"/>
    <w:rsid w:val="008F5994"/>
    <w:rsid w:val="008F6F5B"/>
    <w:rsid w:val="009146B9"/>
    <w:rsid w:val="00981076"/>
    <w:rsid w:val="009E0392"/>
    <w:rsid w:val="00A70ED9"/>
    <w:rsid w:val="00A75D10"/>
    <w:rsid w:val="00AD1AB2"/>
    <w:rsid w:val="00BA6391"/>
    <w:rsid w:val="00BB0434"/>
    <w:rsid w:val="00BF2BDE"/>
    <w:rsid w:val="00C46339"/>
    <w:rsid w:val="00C65DA0"/>
    <w:rsid w:val="00D03BA1"/>
    <w:rsid w:val="00DA2144"/>
    <w:rsid w:val="00E7428B"/>
    <w:rsid w:val="00EC0C8F"/>
    <w:rsid w:val="00ED3C17"/>
    <w:rsid w:val="00EE4C88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BA1"/>
    <w:pPr>
      <w:ind w:left="720"/>
      <w:contextualSpacing/>
    </w:pPr>
  </w:style>
  <w:style w:type="table" w:styleId="TableGrid">
    <w:name w:val="Table Grid"/>
    <w:basedOn w:val="TableNormal"/>
    <w:uiPriority w:val="59"/>
    <w:rsid w:val="0091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F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F1"/>
  </w:style>
  <w:style w:type="paragraph" w:styleId="Footer">
    <w:name w:val="footer"/>
    <w:basedOn w:val="Normal"/>
    <w:link w:val="FooterChar"/>
    <w:uiPriority w:val="99"/>
    <w:unhideWhenUsed/>
    <w:rsid w:val="0089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BA1"/>
    <w:pPr>
      <w:ind w:left="720"/>
      <w:contextualSpacing/>
    </w:pPr>
  </w:style>
  <w:style w:type="table" w:styleId="TableGrid">
    <w:name w:val="Table Grid"/>
    <w:basedOn w:val="TableNormal"/>
    <w:uiPriority w:val="59"/>
    <w:rsid w:val="0091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F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F1"/>
  </w:style>
  <w:style w:type="paragraph" w:styleId="Footer">
    <w:name w:val="footer"/>
    <w:basedOn w:val="Normal"/>
    <w:link w:val="FooterChar"/>
    <w:uiPriority w:val="99"/>
    <w:unhideWhenUsed/>
    <w:rsid w:val="0089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M. Holtzman</dc:creator>
  <cp:lastModifiedBy>Aaron M. Wickenheiser</cp:lastModifiedBy>
  <cp:revision>8</cp:revision>
  <cp:lastPrinted>2018-03-01T18:00:00Z</cp:lastPrinted>
  <dcterms:created xsi:type="dcterms:W3CDTF">2018-02-28T19:35:00Z</dcterms:created>
  <dcterms:modified xsi:type="dcterms:W3CDTF">2018-03-06T20:52:00Z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548536765</vt:i4>
  </property>
</Properties>
</file>