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9A" w:rsidRDefault="003E349A" w:rsidP="003E349A">
      <w:pPr>
        <w:ind w:right="-720"/>
        <w:jc w:val="center"/>
        <w:rPr>
          <w:b/>
        </w:rPr>
      </w:pPr>
      <w:r>
        <w:rPr>
          <w:noProof/>
        </w:rPr>
        <w:drawing>
          <wp:inline distT="0" distB="0" distL="0" distR="0">
            <wp:extent cx="54864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t="-1698" b="31656"/>
                    <a:stretch>
                      <a:fillRect/>
                    </a:stretch>
                  </pic:blipFill>
                  <pic:spPr bwMode="auto">
                    <a:xfrm>
                      <a:off x="0" y="0"/>
                      <a:ext cx="5486400" cy="638175"/>
                    </a:xfrm>
                    <a:prstGeom prst="rect">
                      <a:avLst/>
                    </a:prstGeom>
                    <a:noFill/>
                    <a:ln>
                      <a:noFill/>
                    </a:ln>
                  </pic:spPr>
                </pic:pic>
              </a:graphicData>
            </a:graphic>
          </wp:inline>
        </w:drawing>
      </w:r>
    </w:p>
    <w:p w:rsidR="003E349A" w:rsidRDefault="003E349A" w:rsidP="003E349A">
      <w:pPr>
        <w:ind w:right="-720"/>
        <w:rPr>
          <w:b/>
          <w:color w:val="F2B300"/>
          <w:sz w:val="20"/>
          <w:szCs w:val="20"/>
        </w:rPr>
      </w:pPr>
    </w:p>
    <w:p w:rsidR="003E349A" w:rsidRDefault="003E349A" w:rsidP="003E349A">
      <w:pPr>
        <w:ind w:right="-720"/>
        <w:jc w:val="center"/>
        <w:rPr>
          <w:color w:val="F2B300"/>
          <w:sz w:val="20"/>
          <w:szCs w:val="20"/>
        </w:rPr>
      </w:pPr>
    </w:p>
    <w:p w:rsidR="00163BBF" w:rsidRDefault="00163BBF" w:rsidP="003E349A">
      <w:pPr>
        <w:ind w:right="-360"/>
        <w:jc w:val="center"/>
        <w:rPr>
          <w:b/>
          <w:sz w:val="28"/>
          <w:szCs w:val="28"/>
        </w:rPr>
      </w:pPr>
      <w:r>
        <w:rPr>
          <w:b/>
          <w:sz w:val="28"/>
          <w:szCs w:val="28"/>
        </w:rPr>
        <w:t>MEMORANDUM</w:t>
      </w:r>
    </w:p>
    <w:p w:rsidR="00163BBF" w:rsidRDefault="00163BBF" w:rsidP="00163BBF">
      <w:pPr>
        <w:ind w:right="-360"/>
        <w:rPr>
          <w:b/>
          <w:sz w:val="28"/>
          <w:szCs w:val="28"/>
        </w:rPr>
      </w:pPr>
    </w:p>
    <w:p w:rsidR="00163BBF" w:rsidRDefault="00163BBF" w:rsidP="00163BBF">
      <w:pPr>
        <w:ind w:right="-360"/>
      </w:pPr>
      <w:r w:rsidRPr="002700EE">
        <w:t>T</w:t>
      </w:r>
      <w:r w:rsidR="002700EE" w:rsidRPr="002700EE">
        <w:t>o</w:t>
      </w:r>
      <w:r w:rsidRPr="002700EE">
        <w:t xml:space="preserve">:  </w:t>
      </w:r>
      <w:r w:rsidR="002700EE">
        <w:tab/>
      </w:r>
      <w:r w:rsidR="005A7400">
        <w:tab/>
        <w:t>Mary Davis</w:t>
      </w:r>
      <w:r w:rsidR="00776BA0">
        <w:t xml:space="preserve">, HCD Division Director </w:t>
      </w:r>
    </w:p>
    <w:p w:rsidR="005A7400" w:rsidRPr="002700EE" w:rsidRDefault="005A7400" w:rsidP="00163BBF">
      <w:pPr>
        <w:ind w:right="-360"/>
      </w:pPr>
    </w:p>
    <w:p w:rsidR="00163BBF" w:rsidRDefault="00163BBF" w:rsidP="00163BBF">
      <w:pPr>
        <w:ind w:right="-360"/>
      </w:pPr>
      <w:r w:rsidRPr="002700EE">
        <w:t xml:space="preserve">From: </w:t>
      </w:r>
      <w:r w:rsidR="002700EE">
        <w:tab/>
      </w:r>
      <w:r w:rsidR="005A7400">
        <w:tab/>
        <w:t xml:space="preserve">Maeve </w:t>
      </w:r>
      <w:proofErr w:type="spellStart"/>
      <w:r w:rsidR="005A7400">
        <w:t>Pistrang</w:t>
      </w:r>
      <w:proofErr w:type="spellEnd"/>
      <w:r w:rsidRPr="002700EE">
        <w:t xml:space="preserve"> </w:t>
      </w:r>
    </w:p>
    <w:p w:rsidR="003C06F2" w:rsidRPr="002700EE" w:rsidRDefault="003C06F2" w:rsidP="00163BBF">
      <w:pPr>
        <w:ind w:right="-360"/>
      </w:pPr>
      <w:r>
        <w:tab/>
      </w:r>
    </w:p>
    <w:p w:rsidR="002700EE" w:rsidRDefault="002700EE" w:rsidP="003E349A">
      <w:pPr>
        <w:ind w:right="-360"/>
      </w:pPr>
      <w:r w:rsidRPr="002700EE">
        <w:t>Date:</w:t>
      </w:r>
      <w:r>
        <w:tab/>
      </w:r>
      <w:r w:rsidR="00A92B54">
        <w:tab/>
        <w:t>February 25</w:t>
      </w:r>
      <w:r>
        <w:t>, 2015</w:t>
      </w:r>
    </w:p>
    <w:p w:rsidR="005A7400" w:rsidRDefault="005A7400" w:rsidP="003E349A">
      <w:pPr>
        <w:ind w:right="-360"/>
      </w:pPr>
    </w:p>
    <w:p w:rsidR="002700EE" w:rsidRDefault="002700EE" w:rsidP="003250D1">
      <w:pPr>
        <w:ind w:left="720" w:right="-360" w:hanging="720"/>
        <w:rPr>
          <w:b/>
        </w:rPr>
      </w:pPr>
      <w:r w:rsidRPr="002700EE">
        <w:rPr>
          <w:b/>
        </w:rPr>
        <w:t>RE:</w:t>
      </w:r>
      <w:r w:rsidRPr="002700EE">
        <w:rPr>
          <w:b/>
        </w:rPr>
        <w:tab/>
      </w:r>
      <w:r w:rsidR="005A7400">
        <w:rPr>
          <w:b/>
        </w:rPr>
        <w:tab/>
        <w:t xml:space="preserve">HCD Eligible Areas Map </w:t>
      </w:r>
    </w:p>
    <w:p w:rsidR="002700EE" w:rsidRDefault="002700EE" w:rsidP="003E349A">
      <w:pPr>
        <w:pBdr>
          <w:bottom w:val="single" w:sz="12" w:space="1" w:color="auto"/>
        </w:pBdr>
        <w:ind w:right="-360"/>
        <w:rPr>
          <w:b/>
        </w:rPr>
      </w:pPr>
    </w:p>
    <w:p w:rsidR="002700EE" w:rsidRDefault="002700EE" w:rsidP="003E349A">
      <w:pPr>
        <w:ind w:right="-360"/>
        <w:rPr>
          <w:b/>
        </w:rPr>
      </w:pPr>
    </w:p>
    <w:p w:rsidR="00496B16" w:rsidRDefault="00496B16" w:rsidP="00700245">
      <w:pPr>
        <w:ind w:right="-360"/>
        <w:rPr>
          <w:b/>
        </w:rPr>
      </w:pPr>
      <w:r>
        <w:rPr>
          <w:b/>
        </w:rPr>
        <w:t>Background</w:t>
      </w:r>
      <w:r w:rsidR="005A7400" w:rsidRPr="00E87387">
        <w:rPr>
          <w:b/>
        </w:rPr>
        <w:t xml:space="preserve"> </w:t>
      </w:r>
    </w:p>
    <w:p w:rsidR="005A7400" w:rsidRDefault="00700245" w:rsidP="00700245">
      <w:pPr>
        <w:ind w:right="-360"/>
      </w:pPr>
      <w:r>
        <w:t>When a CDBG project is fulfilling the national objective of benefitting low-moderate income persons on an area-wide basis, the population of that area must be at least 51% low-moderate income</w:t>
      </w:r>
      <w:r w:rsidR="0056088F">
        <w:t xml:space="preserve"> (LMI)</w:t>
      </w:r>
      <w:r>
        <w:t>.</w:t>
      </w:r>
      <w:r w:rsidR="0038152B">
        <w:t xml:space="preserve"> </w:t>
      </w:r>
      <w:r>
        <w:t>In order to ensure that these regulations are followed and a national objective is met</w:t>
      </w:r>
      <w:r w:rsidR="005A7400">
        <w:t xml:space="preserve">, HCD utilizes a map displaying Census or American Community Survey (ACS) data of low-moderate income population </w:t>
      </w:r>
      <w:r w:rsidR="00496B16">
        <w:t xml:space="preserve">in the City of Portland </w:t>
      </w:r>
      <w:r w:rsidR="005A7400">
        <w:t>as a reference</w:t>
      </w:r>
      <w:r>
        <w:t xml:space="preserve"> tool</w:t>
      </w:r>
      <w:r w:rsidR="005A7400">
        <w:t xml:space="preserve">. </w:t>
      </w:r>
      <w:r w:rsidR="00E87387" w:rsidRPr="00E87387">
        <w:t xml:space="preserve"> </w:t>
      </w:r>
      <w:r w:rsidR="00496B16">
        <w:t xml:space="preserve">This map was last updated in 2003 using 2000 Census data. </w:t>
      </w:r>
    </w:p>
    <w:p w:rsidR="00700245" w:rsidRPr="00E87387" w:rsidRDefault="00700245" w:rsidP="00700245">
      <w:pPr>
        <w:ind w:right="-360"/>
      </w:pPr>
    </w:p>
    <w:p w:rsidR="00361630" w:rsidRDefault="005A7400" w:rsidP="003E349A">
      <w:pPr>
        <w:ind w:right="-360"/>
      </w:pPr>
      <w:r>
        <w:t xml:space="preserve">In </w:t>
      </w:r>
      <w:r w:rsidR="00D96C27">
        <w:t>2014</w:t>
      </w:r>
      <w:r w:rsidR="008E1501">
        <w:t xml:space="preserve"> </w:t>
      </w:r>
      <w:r>
        <w:t xml:space="preserve">HUD released new </w:t>
      </w:r>
      <w:r w:rsidR="00496B16">
        <w:t xml:space="preserve">summary </w:t>
      </w:r>
      <w:r>
        <w:t>data from the American Community Survey</w:t>
      </w:r>
      <w:r w:rsidR="00496B16">
        <w:t xml:space="preserve"> from </w:t>
      </w:r>
      <w:r w:rsidR="00392475">
        <w:t>2006-2010</w:t>
      </w:r>
      <w:r>
        <w:t xml:space="preserve"> to update </w:t>
      </w:r>
      <w:r w:rsidR="00496B16">
        <w:t xml:space="preserve">the map. </w:t>
      </w:r>
      <w:r w:rsidR="00392475">
        <w:t xml:space="preserve">When staff examined the new ACS </w:t>
      </w:r>
      <w:r>
        <w:t xml:space="preserve">data they found a notable discrepancy in the block groups that were </w:t>
      </w:r>
      <w:r w:rsidR="00D96C27">
        <w:t>considered</w:t>
      </w:r>
      <w:r w:rsidR="008E1501">
        <w:t xml:space="preserve"> elig</w:t>
      </w:r>
      <w:r w:rsidR="00D96C27">
        <w:t>ible compared to the old map</w:t>
      </w:r>
      <w:r w:rsidR="00EE43F8">
        <w:t xml:space="preserve"> (see attached spreadsheet)</w:t>
      </w:r>
      <w:r w:rsidR="008E1501">
        <w:t xml:space="preserve">. On further investigation, this discrepancy was not </w:t>
      </w:r>
      <w:r w:rsidR="00944EDD">
        <w:t xml:space="preserve">primarily </w:t>
      </w:r>
      <w:r w:rsidR="008E1501">
        <w:t>the result of signif</w:t>
      </w:r>
      <w:r w:rsidR="00D96C27">
        <w:t>icant income changes in the data</w:t>
      </w:r>
      <w:r w:rsidR="008E1501">
        <w:t xml:space="preserve">, but rather a policy decision from 2003 </w:t>
      </w:r>
      <w:r w:rsidR="00D96C27">
        <w:t>that was meant to</w:t>
      </w:r>
      <w:r w:rsidR="008E1501">
        <w:t xml:space="preserve"> target CDBG funds</w:t>
      </w:r>
      <w:r w:rsidR="00E87387">
        <w:t xml:space="preserve"> to particular areas </w:t>
      </w:r>
      <w:r w:rsidR="00776BA0">
        <w:t xml:space="preserve">and populations </w:t>
      </w:r>
      <w:r w:rsidR="00E87387">
        <w:t>of Portland</w:t>
      </w:r>
      <w:r w:rsidR="008E1501">
        <w:t xml:space="preserve">. </w:t>
      </w:r>
    </w:p>
    <w:p w:rsidR="00361630" w:rsidRDefault="00361630" w:rsidP="003E349A">
      <w:pPr>
        <w:ind w:right="-360"/>
      </w:pPr>
    </w:p>
    <w:p w:rsidR="00496B16" w:rsidRDefault="002121A5" w:rsidP="003E349A">
      <w:pPr>
        <w:ind w:right="-360"/>
        <w:rPr>
          <w:b/>
        </w:rPr>
      </w:pPr>
      <w:r>
        <w:rPr>
          <w:b/>
        </w:rPr>
        <w:t>2003 Policy Decision</w:t>
      </w:r>
      <w:r w:rsidR="005A7400">
        <w:rPr>
          <w:b/>
        </w:rPr>
        <w:t xml:space="preserve"> </w:t>
      </w:r>
    </w:p>
    <w:p w:rsidR="0056088F" w:rsidRDefault="005A7400" w:rsidP="003E349A">
      <w:pPr>
        <w:ind w:right="-360"/>
      </w:pPr>
      <w:r>
        <w:t>According to a mem</w:t>
      </w:r>
      <w:r w:rsidR="008E1501">
        <w:t>o</w:t>
      </w:r>
      <w:r w:rsidR="0056088F">
        <w:t xml:space="preserve"> (attached)</w:t>
      </w:r>
      <w:r w:rsidR="00E87387">
        <w:t xml:space="preserve"> dated August 13, 2003 </w:t>
      </w:r>
      <w:r w:rsidR="008E1501">
        <w:t xml:space="preserve">from </w:t>
      </w:r>
      <w:r w:rsidR="00E87387">
        <w:t xml:space="preserve">HNS division director </w:t>
      </w:r>
      <w:r w:rsidR="008E1501">
        <w:t xml:space="preserve">Mark Adelson to </w:t>
      </w:r>
      <w:r w:rsidR="00E87387">
        <w:t xml:space="preserve">City Manager </w:t>
      </w:r>
      <w:r w:rsidR="008E1501">
        <w:t xml:space="preserve">Joe Gray, </w:t>
      </w:r>
      <w:r w:rsidR="002121A5">
        <w:t xml:space="preserve">“the City of Portland has always chosen to use Census Tracts when looking at what areas are eligible for Low/Mod Area Benefit activities even if, as in 1990, there are eligible block groups within ineligible tracts.” </w:t>
      </w:r>
      <w:r w:rsidR="009668F5">
        <w:t xml:space="preserve">Therefore, in 2003 the City was </w:t>
      </w:r>
      <w:r w:rsidR="00776BA0">
        <w:t xml:space="preserve">continuing </w:t>
      </w:r>
      <w:r w:rsidR="009668F5">
        <w:t>a policy of using</w:t>
      </w:r>
      <w:r w:rsidR="0056088F">
        <w:t xml:space="preserve"> a two-part test</w:t>
      </w:r>
      <w:r w:rsidR="009668F5">
        <w:t xml:space="preserve"> to determine CDBG </w:t>
      </w:r>
      <w:r w:rsidR="0038152B">
        <w:t>area eligibility;</w:t>
      </w:r>
      <w:r w:rsidR="0056088F">
        <w:t xml:space="preserve"> a block group had to both have a population of at</w:t>
      </w:r>
      <w:r w:rsidR="00DC4389">
        <w:t xml:space="preserve"> least</w:t>
      </w:r>
      <w:r w:rsidR="0056088F">
        <w:t xml:space="preserve"> 51% low-moderate income residents </w:t>
      </w:r>
      <w:r w:rsidR="0056088F" w:rsidRPr="0056088F">
        <w:rPr>
          <w:i/>
        </w:rPr>
        <w:t xml:space="preserve">and </w:t>
      </w:r>
      <w:r w:rsidR="0056088F">
        <w:t xml:space="preserve">be </w:t>
      </w:r>
      <w:r w:rsidR="0056088F" w:rsidRPr="00496B16">
        <w:t xml:space="preserve">located </w:t>
      </w:r>
      <w:r w:rsidR="0056088F">
        <w:t>in a Census Tract that had a low-moderate income population of at least 51%</w:t>
      </w:r>
      <w:r w:rsidR="00DC4389">
        <w:t xml:space="preserve">. </w:t>
      </w:r>
    </w:p>
    <w:p w:rsidR="0056088F" w:rsidRDefault="0056088F" w:rsidP="003E349A">
      <w:pPr>
        <w:ind w:right="-360"/>
      </w:pPr>
    </w:p>
    <w:p w:rsidR="005A7400" w:rsidRDefault="002121A5" w:rsidP="003E349A">
      <w:pPr>
        <w:ind w:right="-360"/>
      </w:pPr>
      <w:r>
        <w:t xml:space="preserve">The memo indicates that staff were hesitant </w:t>
      </w:r>
      <w:r w:rsidR="0056088F">
        <w:t>for</w:t>
      </w:r>
      <w:r>
        <w:t xml:space="preserve"> block groups </w:t>
      </w:r>
      <w:r w:rsidR="0056088F">
        <w:t>that did not pass this two-part test to be eligible for CDBG because they</w:t>
      </w:r>
      <w:r w:rsidR="002D7F81">
        <w:t xml:space="preserve"> were concerned about </w:t>
      </w:r>
      <w:r>
        <w:t>spreading CDBG funds too thin,</w:t>
      </w:r>
      <w:r w:rsidR="00392475">
        <w:t xml:space="preserve"> thereby</w:t>
      </w:r>
      <w:r>
        <w:t xml:space="preserve"> lessening their impact and reducing timeliness</w:t>
      </w:r>
      <w:r w:rsidR="00D96C27">
        <w:t xml:space="preserve"> of expenditures</w:t>
      </w:r>
      <w:r>
        <w:t xml:space="preserve">. </w:t>
      </w:r>
      <w:r w:rsidR="00E87387">
        <w:t>Instead they aimed</w:t>
      </w:r>
      <w:r>
        <w:t xml:space="preserve"> to </w:t>
      </w:r>
      <w:r w:rsidR="0056088F">
        <w:t xml:space="preserve">target funds </w:t>
      </w:r>
      <w:r>
        <w:t xml:space="preserve">to those </w:t>
      </w:r>
      <w:r w:rsidR="00E87387">
        <w:t>geographies</w:t>
      </w:r>
      <w:r w:rsidR="00D96C27">
        <w:t xml:space="preserve"> where </w:t>
      </w:r>
      <w:r w:rsidR="0056088F">
        <w:t xml:space="preserve">there were higher concentrations of low-moderate income residents, based on </w:t>
      </w:r>
      <w:r w:rsidR="00DC4389">
        <w:t xml:space="preserve">both </w:t>
      </w:r>
      <w:r w:rsidR="0056088F">
        <w:t>Tract and block group</w:t>
      </w:r>
      <w:r w:rsidR="00DC4389">
        <w:t xml:space="preserve"> geographies</w:t>
      </w:r>
      <w:r w:rsidR="0056088F">
        <w:t xml:space="preserve">. </w:t>
      </w:r>
    </w:p>
    <w:p w:rsidR="00D96C27" w:rsidRDefault="00D96C27" w:rsidP="003E349A">
      <w:pPr>
        <w:ind w:right="-360"/>
      </w:pPr>
    </w:p>
    <w:p w:rsidR="00D96C27" w:rsidRDefault="009668F5" w:rsidP="003E349A">
      <w:pPr>
        <w:ind w:right="-360"/>
      </w:pPr>
      <w:r>
        <w:t xml:space="preserve">Following this </w:t>
      </w:r>
      <w:r w:rsidR="005B70FD">
        <w:t>Census Tract r</w:t>
      </w:r>
      <w:r w:rsidR="0056088F">
        <w:t xml:space="preserve">ule meant that </w:t>
      </w:r>
      <w:r w:rsidR="00D96C27">
        <w:t xml:space="preserve">6 block groups located off of the </w:t>
      </w:r>
      <w:r w:rsidR="0056088F">
        <w:t xml:space="preserve">Portland </w:t>
      </w:r>
      <w:r w:rsidR="00D96C27">
        <w:t>peninsula that were o</w:t>
      </w:r>
      <w:r w:rsidR="0056088F">
        <w:t>ver 51% LMI,</w:t>
      </w:r>
      <w:r w:rsidR="00202AAD">
        <w:t xml:space="preserve"> were</w:t>
      </w:r>
      <w:r w:rsidR="00D96C27">
        <w:t xml:space="preserve"> eliminated from </w:t>
      </w:r>
      <w:r w:rsidR="00DC4389">
        <w:t>eligibility</w:t>
      </w:r>
      <w:r w:rsidR="00D96C27">
        <w:t xml:space="preserve">. The justification for this elimination was that, </w:t>
      </w:r>
      <w:r w:rsidR="00D96C27">
        <w:lastRenderedPageBreak/>
        <w:t>“staff believe that this [off-peninsula block groups categorized as LMI] is due in part to a larger percentage of the Metropolitan Statistical Area’s population living outside of Portland and having higher incomes, thereby raising the MSA’s 80% of median income threshold.” In other words, they were arguing that Portland’s wealthier suburbs were pushing up the median income statistic</w:t>
      </w:r>
      <w:r w:rsidR="00944EDD">
        <w:t xml:space="preserve"> for the region</w:t>
      </w:r>
      <w:r w:rsidR="00D96C27">
        <w:t>, making it appear that people in Portland were low income, while</w:t>
      </w:r>
      <w:r w:rsidR="002A0A67">
        <w:t xml:space="preserve"> in staff’s opinion,</w:t>
      </w:r>
      <w:r w:rsidR="00D96C27">
        <w:t xml:space="preserve"> they actually were not. </w:t>
      </w:r>
      <w:r w:rsidR="002A0A67">
        <w:t xml:space="preserve">However they did not want to eliminate considering block groups altogether and just use Tracts, because by that measure the Western Prom and </w:t>
      </w:r>
      <w:proofErr w:type="spellStart"/>
      <w:r w:rsidR="002A0A67">
        <w:t>Stroudwater</w:t>
      </w:r>
      <w:proofErr w:type="spellEnd"/>
      <w:r w:rsidR="002A0A67">
        <w:t xml:space="preserve"> would have been </w:t>
      </w:r>
      <w:r w:rsidR="00DC4389">
        <w:t xml:space="preserve">CDBG </w:t>
      </w:r>
      <w:r w:rsidR="002A0A67">
        <w:t>eligible areas</w:t>
      </w:r>
      <w:r w:rsidR="00DC4389">
        <w:t>, even though they were</w:t>
      </w:r>
      <w:r w:rsidR="00776BA0">
        <w:t>, as the 2003 memo states,</w:t>
      </w:r>
      <w:r w:rsidR="00DC4389">
        <w:t xml:space="preserve"> “clearly not low/mod areas</w:t>
      </w:r>
      <w:r w:rsidR="0056088F">
        <w:t>.</w:t>
      </w:r>
      <w:r w:rsidR="00DC4389">
        <w:t>”</w:t>
      </w:r>
      <w:r w:rsidR="0056088F">
        <w:t xml:space="preserve"> </w:t>
      </w:r>
      <w:r w:rsidR="00E87387">
        <w:t xml:space="preserve">Also, they made an exception to the rule in order </w:t>
      </w:r>
      <w:r w:rsidR="00DC4389">
        <w:t>for Cliff Island to remain</w:t>
      </w:r>
      <w:r w:rsidR="00E87387">
        <w:t xml:space="preserve"> eligible</w:t>
      </w:r>
      <w:r w:rsidR="002A0A67">
        <w:t xml:space="preserve">. </w:t>
      </w:r>
    </w:p>
    <w:p w:rsidR="002D6500" w:rsidRDefault="002D6500" w:rsidP="003E349A">
      <w:pPr>
        <w:ind w:right="-360"/>
      </w:pPr>
    </w:p>
    <w:p w:rsidR="00496B16" w:rsidRPr="00EE43F8" w:rsidRDefault="00496B16" w:rsidP="003E349A">
      <w:pPr>
        <w:ind w:right="-360"/>
      </w:pPr>
      <w:r>
        <w:rPr>
          <w:b/>
        </w:rPr>
        <w:t xml:space="preserve">2003 </w:t>
      </w:r>
      <w:r w:rsidR="00E34DA7">
        <w:rPr>
          <w:b/>
        </w:rPr>
        <w:t xml:space="preserve">Census Tract Rule </w:t>
      </w:r>
      <w:r>
        <w:rPr>
          <w:b/>
        </w:rPr>
        <w:t>Exclusions</w:t>
      </w:r>
      <w:r w:rsidR="002D6500" w:rsidRPr="002D6500">
        <w:rPr>
          <w:b/>
        </w:rPr>
        <w:t xml:space="preserve"> </w:t>
      </w:r>
    </w:p>
    <w:p w:rsidR="002D6500" w:rsidRDefault="00944EDD" w:rsidP="003E349A">
      <w:pPr>
        <w:ind w:right="-360"/>
      </w:pPr>
      <w:r>
        <w:t xml:space="preserve">The </w:t>
      </w:r>
      <w:r w:rsidR="002D6EC5">
        <w:t>block groups</w:t>
      </w:r>
      <w:r w:rsidR="00902B6B">
        <w:t xml:space="preserve"> </w:t>
      </w:r>
      <w:r w:rsidR="002D6500">
        <w:t xml:space="preserve">excluded </w:t>
      </w:r>
      <w:r>
        <w:t>from CDBG</w:t>
      </w:r>
      <w:r w:rsidR="002D6500">
        <w:t xml:space="preserve"> eligibility</w:t>
      </w:r>
      <w:r w:rsidR="00496B16">
        <w:t xml:space="preserve"> on the 2003 map</w:t>
      </w:r>
      <w:r w:rsidR="002D6EC5">
        <w:t xml:space="preserve"> because of their Census Tract percentage were: </w:t>
      </w:r>
      <w:r w:rsidR="002D6500">
        <w:t xml:space="preserve"> </w:t>
      </w:r>
    </w:p>
    <w:p w:rsidR="002D6500" w:rsidRDefault="002D6500" w:rsidP="003E349A">
      <w:pPr>
        <w:ind w:right="-360"/>
      </w:pPr>
    </w:p>
    <w:p w:rsidR="00415AFA" w:rsidRDefault="002D6500" w:rsidP="003E349A">
      <w:pPr>
        <w:ind w:right="-360"/>
      </w:pPr>
      <w:r w:rsidRPr="00237147">
        <w:rPr>
          <w:u w:val="single"/>
        </w:rPr>
        <w:t>Census Tract 3</w:t>
      </w:r>
      <w:r w:rsidR="00237147" w:rsidRPr="00237147">
        <w:rPr>
          <w:u w:val="single"/>
        </w:rPr>
        <w:t>, Block Group 1</w:t>
      </w:r>
      <w:r w:rsidR="00AC0CA2">
        <w:rPr>
          <w:u w:val="single"/>
        </w:rPr>
        <w:t xml:space="preserve"> (Downtown) </w:t>
      </w:r>
      <w:r w:rsidR="00237147">
        <w:t xml:space="preserve"> – This </w:t>
      </w:r>
      <w:r w:rsidR="002D6EC5">
        <w:t>area consists of parts</w:t>
      </w:r>
      <w:r w:rsidR="00237147">
        <w:t xml:space="preserve"> of Portland’s downtown </w:t>
      </w:r>
      <w:r>
        <w:t>bounded by Spring Street to the south, Cumberland Ave to the north, Elm Street to the east, and State Street to the west</w:t>
      </w:r>
      <w:r w:rsidR="00237147">
        <w:t xml:space="preserve">. This geography includes Congress Square. The 2000 </w:t>
      </w:r>
      <w:r w:rsidR="006F33DF">
        <w:t>data shows the Tract wa</w:t>
      </w:r>
      <w:r w:rsidR="00134403">
        <w:t>s 48.74</w:t>
      </w:r>
      <w:r w:rsidR="00237147">
        <w:t>% LMI while the block g</w:t>
      </w:r>
      <w:r w:rsidR="006F33DF">
        <w:t>roup wa</w:t>
      </w:r>
      <w:r w:rsidR="00237147">
        <w:t xml:space="preserve">s </w:t>
      </w:r>
      <w:r w:rsidR="00237147" w:rsidRPr="00392475">
        <w:t>61</w:t>
      </w:r>
      <w:r w:rsidR="00134403">
        <w:t>.17</w:t>
      </w:r>
      <w:r w:rsidR="00237147" w:rsidRPr="00392475">
        <w:t>% LMI</w:t>
      </w:r>
      <w:r w:rsidR="00237147">
        <w:t xml:space="preserve">, thus failing the two-part </w:t>
      </w:r>
      <w:r w:rsidR="0038152B">
        <w:t>Census Tract R</w:t>
      </w:r>
      <w:r w:rsidR="00237147">
        <w:t xml:space="preserve">ule test. </w:t>
      </w:r>
      <w:r w:rsidR="00237147" w:rsidRPr="00237147">
        <w:t xml:space="preserve">The new data released in </w:t>
      </w:r>
      <w:r w:rsidR="007F00E7" w:rsidRPr="00237147">
        <w:t>2014</w:t>
      </w:r>
      <w:r w:rsidR="00415AFA" w:rsidRPr="00237147">
        <w:t xml:space="preserve"> </w:t>
      </w:r>
      <w:r w:rsidR="00237147" w:rsidRPr="00237147">
        <w:t xml:space="preserve">shows this </w:t>
      </w:r>
      <w:r w:rsidR="00415AFA" w:rsidRPr="00237147">
        <w:t>tract is now</w:t>
      </w:r>
      <w:r w:rsidR="007F00E7" w:rsidRPr="00237147">
        <w:t xml:space="preserve"> eligible</w:t>
      </w:r>
      <w:r w:rsidR="00237147" w:rsidRPr="00237147">
        <w:t xml:space="preserve"> under the Tract rule</w:t>
      </w:r>
      <w:r w:rsidR="007F00E7" w:rsidRPr="00237147">
        <w:t xml:space="preserve"> </w:t>
      </w:r>
      <w:r w:rsidR="00237147" w:rsidRPr="00237147">
        <w:t>with the Tract 73</w:t>
      </w:r>
      <w:r w:rsidR="00134403">
        <w:t>.33% LMI and the block group at 85.67</w:t>
      </w:r>
      <w:r w:rsidR="00237147" w:rsidRPr="00237147">
        <w:t>% LMI.</w:t>
      </w:r>
      <w:r w:rsidR="00237147">
        <w:rPr>
          <w:i/>
        </w:rPr>
        <w:t xml:space="preserve"> </w:t>
      </w:r>
    </w:p>
    <w:p w:rsidR="00415AFA" w:rsidRDefault="00415AFA" w:rsidP="003E349A">
      <w:pPr>
        <w:ind w:right="-360"/>
      </w:pPr>
    </w:p>
    <w:p w:rsidR="002C4F3C" w:rsidRDefault="00DC59CB" w:rsidP="003E349A">
      <w:pPr>
        <w:ind w:right="-360"/>
      </w:pPr>
      <w:r w:rsidRPr="00AC0CA2">
        <w:rPr>
          <w:u w:val="single"/>
        </w:rPr>
        <w:t>Census Tract 15</w:t>
      </w:r>
      <w:r w:rsidR="00AC0CA2" w:rsidRPr="00AC0CA2">
        <w:rPr>
          <w:u w:val="single"/>
        </w:rPr>
        <w:t xml:space="preserve">, Block Group 1 </w:t>
      </w:r>
      <w:r w:rsidR="000305E0" w:rsidRPr="00AC0CA2">
        <w:rPr>
          <w:u w:val="single"/>
        </w:rPr>
        <w:t>(Oakdale)</w:t>
      </w:r>
      <w:r w:rsidR="000305E0">
        <w:t xml:space="preserve"> – </w:t>
      </w:r>
      <w:r w:rsidR="00AC0CA2">
        <w:t xml:space="preserve">This area includes Forest Avenue from Marginal Way to Woodford’s Corner and parts of Baxter Boulevard. The Tract was </w:t>
      </w:r>
      <w:r w:rsidR="000305E0">
        <w:t>50</w:t>
      </w:r>
      <w:r w:rsidR="00134403">
        <w:t>.29</w:t>
      </w:r>
      <w:r w:rsidR="000305E0">
        <w:t>% LMI</w:t>
      </w:r>
      <w:r w:rsidR="00AC0CA2">
        <w:t xml:space="preserve"> and the block group was 53</w:t>
      </w:r>
      <w:r w:rsidR="00134403">
        <w:t>.14</w:t>
      </w:r>
      <w:r w:rsidR="00AC0CA2">
        <w:t xml:space="preserve">% LMI. </w:t>
      </w:r>
      <w:r w:rsidR="000305E0" w:rsidRPr="00AC0CA2">
        <w:t xml:space="preserve">In </w:t>
      </w:r>
      <w:r w:rsidR="00AC0CA2" w:rsidRPr="00AC0CA2">
        <w:t xml:space="preserve">data from </w:t>
      </w:r>
      <w:r w:rsidR="000305E0" w:rsidRPr="00AC0CA2">
        <w:t>2014 this Tract is now</w:t>
      </w:r>
      <w:r w:rsidR="007F00E7" w:rsidRPr="00AC0CA2">
        <w:t xml:space="preserve"> eligible at 54</w:t>
      </w:r>
      <w:r w:rsidR="00134403">
        <w:t>.19</w:t>
      </w:r>
      <w:r w:rsidR="007F00E7" w:rsidRPr="00AC0CA2">
        <w:t xml:space="preserve">% LMI </w:t>
      </w:r>
      <w:r w:rsidR="00AC0CA2" w:rsidRPr="00AC0CA2">
        <w:t xml:space="preserve">and the </w:t>
      </w:r>
      <w:r w:rsidR="000305E0" w:rsidRPr="00AC0CA2">
        <w:t>block gro</w:t>
      </w:r>
      <w:r w:rsidR="00AC0CA2" w:rsidRPr="00AC0CA2">
        <w:t>up 64</w:t>
      </w:r>
      <w:r w:rsidR="00134403">
        <w:t>.39</w:t>
      </w:r>
      <w:r w:rsidR="00AC0CA2" w:rsidRPr="00AC0CA2">
        <w:t xml:space="preserve">% LMI. </w:t>
      </w:r>
    </w:p>
    <w:p w:rsidR="001164E3" w:rsidRDefault="001164E3" w:rsidP="003E349A">
      <w:pPr>
        <w:ind w:right="-360"/>
      </w:pPr>
    </w:p>
    <w:p w:rsidR="000D4886" w:rsidRPr="002C4F3C" w:rsidRDefault="001164E3" w:rsidP="003E349A">
      <w:pPr>
        <w:ind w:right="-360"/>
      </w:pPr>
      <w:r w:rsidRPr="00F33E36">
        <w:rPr>
          <w:u w:val="single"/>
        </w:rPr>
        <w:t>Census Tract 19</w:t>
      </w:r>
      <w:r w:rsidR="00F33E36" w:rsidRPr="00F33E36">
        <w:rPr>
          <w:u w:val="single"/>
        </w:rPr>
        <w:t>, Block Group 1</w:t>
      </w:r>
      <w:r w:rsidRPr="00F33E36">
        <w:rPr>
          <w:u w:val="single"/>
        </w:rPr>
        <w:t xml:space="preserve"> (</w:t>
      </w:r>
      <w:r w:rsidRPr="00616FBF">
        <w:rPr>
          <w:u w:val="single"/>
        </w:rPr>
        <w:t>Deering Center)</w:t>
      </w:r>
      <w:r>
        <w:t xml:space="preserve"> – </w:t>
      </w:r>
      <w:r w:rsidR="00F33E36">
        <w:t xml:space="preserve">This is the area around Baxter Woods and the Catherine </w:t>
      </w:r>
      <w:proofErr w:type="spellStart"/>
      <w:r w:rsidR="00F33E36">
        <w:t>McAuley</w:t>
      </w:r>
      <w:proofErr w:type="spellEnd"/>
      <w:r w:rsidR="00F33E36">
        <w:t xml:space="preserve"> High School. The Tract was </w:t>
      </w:r>
      <w:r>
        <w:t>40</w:t>
      </w:r>
      <w:r w:rsidR="0034246D">
        <w:t>.03</w:t>
      </w:r>
      <w:r>
        <w:t>% LMI</w:t>
      </w:r>
      <w:r w:rsidR="00F33E36">
        <w:t xml:space="preserve"> and the block group was </w:t>
      </w:r>
      <w:r w:rsidR="0034246D">
        <w:t>55.52</w:t>
      </w:r>
      <w:r w:rsidR="00944EDD" w:rsidRPr="00392475">
        <w:t>% LMI</w:t>
      </w:r>
      <w:r w:rsidR="00F33E36">
        <w:t>. In data from 2014,</w:t>
      </w:r>
      <w:r w:rsidR="00610132">
        <w:t xml:space="preserve"> this</w:t>
      </w:r>
      <w:r w:rsidR="0034246D">
        <w:t xml:space="preserve"> Tract is 39.85</w:t>
      </w:r>
      <w:r w:rsidR="00610132">
        <w:t>% LMI but</w:t>
      </w:r>
      <w:r w:rsidR="00F33E36">
        <w:t xml:space="preserve"> the block</w:t>
      </w:r>
      <w:r w:rsidR="0034246D">
        <w:t xml:space="preserve"> group is now 49.71</w:t>
      </w:r>
      <w:r w:rsidR="00610132">
        <w:t>% LMI, making it</w:t>
      </w:r>
      <w:r w:rsidR="00F33E36">
        <w:t xml:space="preserve"> no longer CDBG eligible. </w:t>
      </w:r>
    </w:p>
    <w:p w:rsidR="00392475" w:rsidRDefault="00392475" w:rsidP="003E349A">
      <w:pPr>
        <w:ind w:right="-360"/>
        <w:rPr>
          <w:u w:val="single"/>
        </w:rPr>
      </w:pPr>
    </w:p>
    <w:p w:rsidR="00526F9C" w:rsidRDefault="00526F9C" w:rsidP="003E349A">
      <w:pPr>
        <w:ind w:right="-360"/>
      </w:pPr>
      <w:r w:rsidRPr="00CD7E0D">
        <w:rPr>
          <w:u w:val="single"/>
        </w:rPr>
        <w:t>Census Tract 21.01</w:t>
      </w:r>
      <w:r w:rsidR="00CD7E0D" w:rsidRPr="00CD7E0D">
        <w:rPr>
          <w:u w:val="single"/>
        </w:rPr>
        <w:t>, Block Group 3</w:t>
      </w:r>
      <w:r w:rsidRPr="00CD7E0D">
        <w:rPr>
          <w:u w:val="single"/>
        </w:rPr>
        <w:t xml:space="preserve"> (North Deering)</w:t>
      </w:r>
      <w:r w:rsidRPr="00526F9C">
        <w:t xml:space="preserve"> –</w:t>
      </w:r>
      <w:r w:rsidR="00CD7E0D">
        <w:t xml:space="preserve"> This is the area bounded by Washington Ave to the west and route 100 to the east. The Tract was</w:t>
      </w:r>
      <w:r w:rsidRPr="00526F9C">
        <w:t xml:space="preserve"> 31</w:t>
      </w:r>
      <w:r w:rsidR="00197E33">
        <w:t>.31</w:t>
      </w:r>
      <w:r w:rsidRPr="00526F9C">
        <w:t xml:space="preserve">% </w:t>
      </w:r>
      <w:r w:rsidR="00CD7E0D">
        <w:t>LMI while the block group was</w:t>
      </w:r>
      <w:r w:rsidR="00197E33">
        <w:t xml:space="preserve"> 63.72</w:t>
      </w:r>
      <w:r w:rsidR="00392475">
        <w:t>% LMI</w:t>
      </w:r>
      <w:r w:rsidR="00CD7E0D">
        <w:t xml:space="preserve">. </w:t>
      </w:r>
      <w:r w:rsidR="002C37B2">
        <w:t>In data from 2014, this Tract is 33</w:t>
      </w:r>
      <w:r w:rsidR="00197E33">
        <w:t>.39</w:t>
      </w:r>
      <w:r w:rsidR="002C37B2">
        <w:t>% LMI</w:t>
      </w:r>
      <w:r w:rsidR="00197E33">
        <w:t xml:space="preserve"> while the block group is now 71.84</w:t>
      </w:r>
      <w:r w:rsidR="002C37B2">
        <w:t>% LMI. Thus the block group is eligible, but it would still fail the Tract rule test</w:t>
      </w:r>
      <w:r w:rsidR="005771B7">
        <w:t>,</w:t>
      </w:r>
      <w:r w:rsidR="002C37B2">
        <w:t xml:space="preserve"> if applied. </w:t>
      </w:r>
    </w:p>
    <w:p w:rsidR="00392475" w:rsidRDefault="00392475" w:rsidP="003E349A">
      <w:pPr>
        <w:ind w:right="-360"/>
      </w:pPr>
    </w:p>
    <w:p w:rsidR="00392475" w:rsidRDefault="00392475" w:rsidP="003E349A">
      <w:pPr>
        <w:ind w:right="-360"/>
      </w:pPr>
      <w:r w:rsidRPr="008D3B78">
        <w:rPr>
          <w:u w:val="single"/>
        </w:rPr>
        <w:t>Census Tract 21.02</w:t>
      </w:r>
      <w:r w:rsidR="008D3B78" w:rsidRPr="008D3B78">
        <w:rPr>
          <w:u w:val="single"/>
        </w:rPr>
        <w:t>, Block Group 2</w:t>
      </w:r>
      <w:r w:rsidRPr="008D3B78">
        <w:rPr>
          <w:u w:val="single"/>
        </w:rPr>
        <w:t xml:space="preserve"> (Riverton)</w:t>
      </w:r>
      <w:r>
        <w:t xml:space="preserve"> – </w:t>
      </w:r>
      <w:r w:rsidR="005B12AC">
        <w:t xml:space="preserve">Under 2000 Census boundaries, this area includes a large geography bounded by the </w:t>
      </w:r>
      <w:proofErr w:type="spellStart"/>
      <w:r w:rsidR="005B12AC">
        <w:t>Presumpscot</w:t>
      </w:r>
      <w:proofErr w:type="spellEnd"/>
      <w:r w:rsidR="005B12AC">
        <w:t xml:space="preserve"> River to the west, includes Evergreen Cemetery to the south, and </w:t>
      </w:r>
      <w:r w:rsidR="00F70A17">
        <w:t xml:space="preserve">is bounded by </w:t>
      </w:r>
      <w:r w:rsidR="005B12AC">
        <w:t xml:space="preserve">route 302 and I-95 to the east. The Tract was </w:t>
      </w:r>
      <w:r w:rsidR="00662DDA">
        <w:t>45.71</w:t>
      </w:r>
      <w:r>
        <w:t>%</w:t>
      </w:r>
      <w:r w:rsidR="005B12AC">
        <w:t xml:space="preserve"> LMI and the block group was</w:t>
      </w:r>
      <w:r>
        <w:t xml:space="preserve"> 54</w:t>
      </w:r>
      <w:r w:rsidR="00662DDA">
        <w:t>.14</w:t>
      </w:r>
      <w:r>
        <w:t>% LMI</w:t>
      </w:r>
      <w:r w:rsidR="005B12AC">
        <w:t xml:space="preserve">. </w:t>
      </w:r>
      <w:r w:rsidR="00F70A17">
        <w:t>In</w:t>
      </w:r>
      <w:r w:rsidR="00C755AE">
        <w:t xml:space="preserve"> 2010 this Census Tract was split from 2 block groups into 3. Block group 2 is still LMI, the other two are not. Block Group 2 in 2010 geography is bounded by the </w:t>
      </w:r>
      <w:proofErr w:type="spellStart"/>
      <w:r w:rsidR="00C755AE">
        <w:t>Presumpscot</w:t>
      </w:r>
      <w:proofErr w:type="spellEnd"/>
      <w:r w:rsidR="00662DDA">
        <w:t xml:space="preserve"> River and I-95. The Tract is 49.95</w:t>
      </w:r>
      <w:r w:rsidR="00C755AE">
        <w:t>% LMI while the block group is now 70</w:t>
      </w:r>
      <w:r w:rsidR="00662DDA">
        <w:t>.09</w:t>
      </w:r>
      <w:r w:rsidR="00C755AE">
        <w:t xml:space="preserve">% LMI. Thus the block group is eligible but it would still fail the Tract rule test, if applied. </w:t>
      </w:r>
    </w:p>
    <w:p w:rsidR="00392475" w:rsidRDefault="00392475" w:rsidP="003E349A">
      <w:pPr>
        <w:ind w:right="-360"/>
      </w:pPr>
    </w:p>
    <w:p w:rsidR="00392475" w:rsidRDefault="00392475" w:rsidP="003E349A">
      <w:pPr>
        <w:ind w:right="-360"/>
      </w:pPr>
      <w:r w:rsidRPr="00FE6AB9">
        <w:rPr>
          <w:u w:val="single"/>
        </w:rPr>
        <w:t>Census Tract 22</w:t>
      </w:r>
      <w:r w:rsidR="00FE6AB9" w:rsidRPr="00FE6AB9">
        <w:rPr>
          <w:u w:val="single"/>
        </w:rPr>
        <w:t>, Block Group 2</w:t>
      </w:r>
      <w:r w:rsidRPr="00FE6AB9">
        <w:rPr>
          <w:u w:val="single"/>
        </w:rPr>
        <w:t xml:space="preserve"> (North Deering)</w:t>
      </w:r>
      <w:r>
        <w:t xml:space="preserve"> – </w:t>
      </w:r>
      <w:r w:rsidR="00FE6AB9">
        <w:t xml:space="preserve">This area </w:t>
      </w:r>
      <w:r w:rsidR="005327A2">
        <w:t xml:space="preserve">is bounded by 100, 26 and Ocean Ave. The Tract was </w:t>
      </w:r>
      <w:r>
        <w:t>40</w:t>
      </w:r>
      <w:r w:rsidR="00750AC1">
        <w:t>.21</w:t>
      </w:r>
      <w:r>
        <w:t>% LMI</w:t>
      </w:r>
      <w:r w:rsidR="00750AC1">
        <w:t xml:space="preserve"> and the block group was 60.99</w:t>
      </w:r>
      <w:r w:rsidR="005327A2">
        <w:t xml:space="preserve">%. </w:t>
      </w:r>
      <w:r w:rsidR="00EA11A2">
        <w:t>In data from 2014, the Tract is now 44</w:t>
      </w:r>
      <w:r w:rsidR="00750AC1">
        <w:t>.35% LMI and the block group is 68.86</w:t>
      </w:r>
      <w:r w:rsidR="00EA11A2">
        <w:t>% LMI. Thus the block group is eligible but it would still fail the Tract rule test, if applied.</w:t>
      </w:r>
    </w:p>
    <w:p w:rsidR="00392475" w:rsidRDefault="00392475" w:rsidP="003E349A">
      <w:pPr>
        <w:ind w:right="-360"/>
      </w:pPr>
      <w:r>
        <w:tab/>
      </w:r>
    </w:p>
    <w:p w:rsidR="00392475" w:rsidRDefault="00392475" w:rsidP="003E349A">
      <w:pPr>
        <w:ind w:right="-360"/>
      </w:pPr>
    </w:p>
    <w:p w:rsidR="00237147" w:rsidRDefault="00392475" w:rsidP="003E349A">
      <w:pPr>
        <w:ind w:right="-360"/>
      </w:pPr>
      <w:r w:rsidRPr="000C23DE">
        <w:rPr>
          <w:u w:val="single"/>
        </w:rPr>
        <w:t>Census Tract 23</w:t>
      </w:r>
      <w:r w:rsidR="000C23DE" w:rsidRPr="000C23DE">
        <w:rPr>
          <w:u w:val="single"/>
        </w:rPr>
        <w:t>, Block Group 2</w:t>
      </w:r>
      <w:r w:rsidRPr="000C23DE">
        <w:rPr>
          <w:u w:val="single"/>
        </w:rPr>
        <w:t xml:space="preserve"> </w:t>
      </w:r>
      <w:r w:rsidR="00237147" w:rsidRPr="000C23DE">
        <w:rPr>
          <w:u w:val="single"/>
        </w:rPr>
        <w:t>(East Deering)</w:t>
      </w:r>
      <w:r w:rsidR="00237147">
        <w:t xml:space="preserve"> </w:t>
      </w:r>
      <w:r>
        <w:t xml:space="preserve">– </w:t>
      </w:r>
      <w:r w:rsidR="000C23DE">
        <w:t xml:space="preserve">This is the area bounded by I-295 to the east and Ocean Ave to the west. The Tract was </w:t>
      </w:r>
      <w:r>
        <w:t>48</w:t>
      </w:r>
      <w:r w:rsidR="0043575D">
        <w:t>.50</w:t>
      </w:r>
      <w:r>
        <w:t>%</w:t>
      </w:r>
      <w:r w:rsidR="000C23DE">
        <w:t xml:space="preserve"> LMI and the block group was </w:t>
      </w:r>
      <w:r w:rsidR="0043575D">
        <w:t>56.86</w:t>
      </w:r>
      <w:r>
        <w:t>%</w:t>
      </w:r>
      <w:r w:rsidR="00237147">
        <w:t xml:space="preserve"> LMI</w:t>
      </w:r>
      <w:r w:rsidR="000C23DE">
        <w:t xml:space="preserve">. </w:t>
      </w:r>
      <w:r w:rsidR="0070027B">
        <w:t>In dat</w:t>
      </w:r>
      <w:r w:rsidR="0043575D">
        <w:t xml:space="preserve">a from 2014, the Tract is </w:t>
      </w:r>
      <w:r w:rsidR="0070027B">
        <w:t>48</w:t>
      </w:r>
      <w:r w:rsidR="0043575D">
        <w:t>.23</w:t>
      </w:r>
      <w:r w:rsidR="0070027B">
        <w:t>% LMI but the block group is now also 48</w:t>
      </w:r>
      <w:r w:rsidR="0043575D">
        <w:t>.17</w:t>
      </w:r>
      <w:r w:rsidR="0070027B">
        <w:t xml:space="preserve">% LMI, making it ineligible for CDBG. </w:t>
      </w:r>
    </w:p>
    <w:p w:rsidR="00237147" w:rsidRDefault="00237147" w:rsidP="003E349A">
      <w:pPr>
        <w:ind w:right="-360"/>
      </w:pPr>
    </w:p>
    <w:p w:rsidR="00237147" w:rsidRDefault="00237147" w:rsidP="00237147">
      <w:pPr>
        <w:ind w:right="-360"/>
      </w:pPr>
      <w:r w:rsidRPr="006F33DF">
        <w:rPr>
          <w:u w:val="single"/>
        </w:rPr>
        <w:t xml:space="preserve">Census Tracts 17 (Rosemont), 18 (Ocean Avenue), </w:t>
      </w:r>
      <w:r w:rsidR="006F33DF" w:rsidRPr="006F33DF">
        <w:rPr>
          <w:u w:val="single"/>
        </w:rPr>
        <w:t xml:space="preserve"> and </w:t>
      </w:r>
      <w:r w:rsidRPr="006F33DF">
        <w:rPr>
          <w:u w:val="single"/>
        </w:rPr>
        <w:t>20.01 (</w:t>
      </w:r>
      <w:proofErr w:type="spellStart"/>
      <w:r w:rsidRPr="006F33DF">
        <w:rPr>
          <w:u w:val="single"/>
        </w:rPr>
        <w:t>Nason’s</w:t>
      </w:r>
      <w:proofErr w:type="spellEnd"/>
      <w:r w:rsidRPr="006F33DF">
        <w:rPr>
          <w:u w:val="single"/>
        </w:rPr>
        <w:t xml:space="preserve"> Corner)</w:t>
      </w:r>
      <w:r w:rsidRPr="00237147">
        <w:t xml:space="preserve"> </w:t>
      </w:r>
      <w:r>
        <w:t>–</w:t>
      </w:r>
      <w:r w:rsidR="006F33DF">
        <w:t xml:space="preserve"> T</w:t>
      </w:r>
      <w:r>
        <w:t>hese areas are ineligible at both the Census Tract and block group level in both 2003 and 2014 data sets</w:t>
      </w:r>
      <w:r w:rsidR="006F33DF">
        <w:t>.</w:t>
      </w:r>
      <w:r>
        <w:t xml:space="preserve"> </w:t>
      </w:r>
    </w:p>
    <w:p w:rsidR="00392475" w:rsidRPr="00392475" w:rsidRDefault="00392475" w:rsidP="003E349A">
      <w:pPr>
        <w:ind w:right="-360"/>
      </w:pPr>
    </w:p>
    <w:p w:rsidR="00E87387" w:rsidRDefault="00E87387" w:rsidP="003E349A">
      <w:pPr>
        <w:ind w:right="-360"/>
      </w:pPr>
    </w:p>
    <w:p w:rsidR="00DC59CB" w:rsidRDefault="00217DEE" w:rsidP="003E349A">
      <w:pPr>
        <w:ind w:right="-360"/>
        <w:rPr>
          <w:b/>
        </w:rPr>
      </w:pPr>
      <w:r>
        <w:rPr>
          <w:b/>
        </w:rPr>
        <w:t>Applying the Census Tract Rule to 2014</w:t>
      </w:r>
    </w:p>
    <w:p w:rsidR="00700245" w:rsidRDefault="00700245" w:rsidP="003E349A">
      <w:pPr>
        <w:ind w:right="-360"/>
      </w:pPr>
      <w:r>
        <w:t>If HCD continued this po</w:t>
      </w:r>
      <w:r w:rsidR="0016356B">
        <w:t>licy of using the Census Tract R</w:t>
      </w:r>
      <w:r>
        <w:t xml:space="preserve">ule, the following low income block groups would be </w:t>
      </w:r>
      <w:r w:rsidRPr="00E34DA7">
        <w:rPr>
          <w:b/>
          <w:i/>
        </w:rPr>
        <w:t>excluded from eligibility</w:t>
      </w:r>
      <w:r w:rsidR="00F54CD1">
        <w:t xml:space="preserve"> based on the LMI percentage of their Tract</w:t>
      </w:r>
      <w:r>
        <w:t xml:space="preserve">: </w:t>
      </w:r>
    </w:p>
    <w:p w:rsidR="00F54CD1" w:rsidRDefault="00F54CD1" w:rsidP="003E349A">
      <w:pPr>
        <w:ind w:right="-360"/>
      </w:pPr>
    </w:p>
    <w:p w:rsidR="008F7DAA" w:rsidRDefault="00237147" w:rsidP="00F54CD1">
      <w:pPr>
        <w:ind w:right="-360"/>
      </w:pPr>
      <w:r w:rsidRPr="00F54CD1">
        <w:rPr>
          <w:u w:val="single"/>
        </w:rPr>
        <w:t>Census Tract 20.02</w:t>
      </w:r>
      <w:r w:rsidR="00F54CD1" w:rsidRPr="00F54CD1">
        <w:rPr>
          <w:u w:val="single"/>
        </w:rPr>
        <w:t>, Block Group 1</w:t>
      </w:r>
      <w:r w:rsidRPr="00F54CD1">
        <w:rPr>
          <w:u w:val="single"/>
        </w:rPr>
        <w:t xml:space="preserve"> (</w:t>
      </w:r>
      <w:proofErr w:type="spellStart"/>
      <w:r w:rsidRPr="00F54CD1">
        <w:rPr>
          <w:u w:val="single"/>
        </w:rPr>
        <w:t>Libbytown</w:t>
      </w:r>
      <w:proofErr w:type="spellEnd"/>
      <w:r w:rsidRPr="00F54CD1">
        <w:rPr>
          <w:u w:val="single"/>
        </w:rPr>
        <w:t>)</w:t>
      </w:r>
      <w:r>
        <w:t xml:space="preserve"> – </w:t>
      </w:r>
      <w:r w:rsidR="00F54CD1">
        <w:t>In 2000 Census data this Tract was 51</w:t>
      </w:r>
      <w:r w:rsidR="00176318">
        <w:t>.44% LMI, making the 58.55</w:t>
      </w:r>
      <w:r w:rsidR="00F54CD1">
        <w:t xml:space="preserve">% LMI block group also eligible. In data from </w:t>
      </w:r>
      <w:r w:rsidR="00176318">
        <w:t>2014, the Tract has fallen to 43.91</w:t>
      </w:r>
      <w:r w:rsidR="00F54CD1">
        <w:t>% LMI, so while the block group remains LMI at 58</w:t>
      </w:r>
      <w:r w:rsidR="00176318">
        <w:t>.04</w:t>
      </w:r>
      <w:r w:rsidR="00F54CD1">
        <w:t xml:space="preserve">%, it would fall out of eligibility under the Tract rule, if applied. </w:t>
      </w:r>
    </w:p>
    <w:p w:rsidR="00A01A51" w:rsidRDefault="00A01A51" w:rsidP="00F54CD1">
      <w:pPr>
        <w:ind w:right="-360"/>
      </w:pPr>
    </w:p>
    <w:p w:rsidR="00A01A51" w:rsidRDefault="00A01A51" w:rsidP="00A01A51">
      <w:pPr>
        <w:ind w:right="-360"/>
      </w:pPr>
      <w:r w:rsidRPr="00CD7E0D">
        <w:rPr>
          <w:u w:val="single"/>
        </w:rPr>
        <w:t>Census Tract 21.01, Block Group 3 (North Deering)</w:t>
      </w:r>
      <w:r w:rsidRPr="00526F9C">
        <w:t xml:space="preserve"> –</w:t>
      </w:r>
      <w:r>
        <w:t xml:space="preserve"> See </w:t>
      </w:r>
      <w:r w:rsidR="00202AAD">
        <w:rPr>
          <w:b/>
        </w:rPr>
        <w:t>2003 Census Tract Rule Exclusions</w:t>
      </w:r>
      <w:r w:rsidR="00202AAD">
        <w:t xml:space="preserve"> section </w:t>
      </w:r>
      <w:r>
        <w:t>above.</w:t>
      </w:r>
    </w:p>
    <w:p w:rsidR="00A01A51" w:rsidRDefault="00A01A51" w:rsidP="00A01A51">
      <w:pPr>
        <w:ind w:right="-360"/>
      </w:pPr>
    </w:p>
    <w:p w:rsidR="00A01A51" w:rsidRDefault="00A01A51" w:rsidP="00A01A51">
      <w:pPr>
        <w:ind w:right="-360"/>
      </w:pPr>
      <w:r w:rsidRPr="008D3B78">
        <w:rPr>
          <w:u w:val="single"/>
        </w:rPr>
        <w:t>Census Tract 21.02, Block Group 2 (Riverton)</w:t>
      </w:r>
      <w:r>
        <w:t xml:space="preserve"> – See</w:t>
      </w:r>
      <w:r w:rsidR="00202AAD">
        <w:t xml:space="preserve"> </w:t>
      </w:r>
      <w:r w:rsidR="00202AAD">
        <w:rPr>
          <w:b/>
        </w:rPr>
        <w:t>2003 Census Tract Rule Exclusions</w:t>
      </w:r>
      <w:r>
        <w:t xml:space="preserve"> </w:t>
      </w:r>
      <w:r w:rsidR="00202AAD">
        <w:t xml:space="preserve">section </w:t>
      </w:r>
      <w:r>
        <w:t xml:space="preserve">above. </w:t>
      </w:r>
    </w:p>
    <w:p w:rsidR="00A01A51" w:rsidRDefault="00A01A51" w:rsidP="00A01A51">
      <w:pPr>
        <w:ind w:right="-360"/>
      </w:pPr>
    </w:p>
    <w:p w:rsidR="00A01A51" w:rsidRDefault="00A01A51" w:rsidP="00A01A51">
      <w:pPr>
        <w:ind w:right="-360"/>
      </w:pPr>
      <w:r w:rsidRPr="00FE6AB9">
        <w:rPr>
          <w:u w:val="single"/>
        </w:rPr>
        <w:t>Census Tract 22, Block Group 2 (North Deering)</w:t>
      </w:r>
      <w:r>
        <w:t xml:space="preserve"> – See </w:t>
      </w:r>
      <w:r w:rsidR="00202AAD">
        <w:rPr>
          <w:b/>
        </w:rPr>
        <w:t>2003 Census Tract Rule Exclusions</w:t>
      </w:r>
      <w:r w:rsidR="00202AAD">
        <w:t xml:space="preserve"> section </w:t>
      </w:r>
      <w:r>
        <w:t xml:space="preserve">above. </w:t>
      </w:r>
    </w:p>
    <w:p w:rsidR="00A01A51" w:rsidRDefault="00A01A51" w:rsidP="00F54CD1">
      <w:pPr>
        <w:ind w:right="-360"/>
      </w:pPr>
    </w:p>
    <w:p w:rsidR="00A01A51" w:rsidRPr="00526F9C" w:rsidRDefault="00A01A51" w:rsidP="00F54CD1">
      <w:pPr>
        <w:ind w:right="-360"/>
      </w:pPr>
      <w:r>
        <w:t xml:space="preserve">Applying the Tract rule to 2014 data would also make several block groups </w:t>
      </w:r>
      <w:r w:rsidRPr="00E34DA7">
        <w:rPr>
          <w:b/>
          <w:i/>
        </w:rPr>
        <w:t xml:space="preserve">eligible </w:t>
      </w:r>
      <w:r w:rsidRPr="00E34DA7">
        <w:t xml:space="preserve">that were not </w:t>
      </w:r>
      <w:r w:rsidR="00E34DA7" w:rsidRPr="00E34DA7">
        <w:t xml:space="preserve">previously eligible under the Tract rule: </w:t>
      </w:r>
      <w:r w:rsidRPr="00E34DA7">
        <w:t xml:space="preserve"> </w:t>
      </w:r>
    </w:p>
    <w:p w:rsidR="00237147" w:rsidRDefault="00237147" w:rsidP="003E349A">
      <w:pPr>
        <w:ind w:right="-360"/>
      </w:pPr>
    </w:p>
    <w:p w:rsidR="00237147" w:rsidRDefault="00237147" w:rsidP="00A01A51">
      <w:pPr>
        <w:ind w:right="-360"/>
      </w:pPr>
      <w:r w:rsidRPr="00A01A51">
        <w:rPr>
          <w:u w:val="single"/>
        </w:rPr>
        <w:t>Census Tract 3</w:t>
      </w:r>
      <w:r w:rsidR="00A01A51" w:rsidRPr="00A01A51">
        <w:rPr>
          <w:u w:val="single"/>
        </w:rPr>
        <w:t>, Block Group 2 (Downtown/Waterfront)</w:t>
      </w:r>
      <w:r>
        <w:t xml:space="preserve"> – </w:t>
      </w:r>
      <w:r w:rsidR="00A01A51">
        <w:t xml:space="preserve">This area is </w:t>
      </w:r>
      <w:r>
        <w:t>bounded by the waterfront to the south, Cumberland Ave to the north, Elm Street to the west, Franklin Street to the east</w:t>
      </w:r>
      <w:r w:rsidR="00A01A51">
        <w:t xml:space="preserve"> and along the waterfront over to Atlantic Street. According to 2000 Ce</w:t>
      </w:r>
      <w:r w:rsidR="002B7AD2">
        <w:t>nsus data this Tract was only 48.74</w:t>
      </w:r>
      <w:r w:rsidR="00A01A51">
        <w:t>% LMI and the block group was 35</w:t>
      </w:r>
      <w:r w:rsidR="00044AA6">
        <w:t>.35</w:t>
      </w:r>
      <w:r w:rsidR="00A01A51">
        <w:t>% LMI. In the 2014 data, the Tract is now 73</w:t>
      </w:r>
      <w:r w:rsidR="00044AA6">
        <w:t>.33</w:t>
      </w:r>
      <w:r w:rsidR="00A01A51">
        <w:t>% LMI and the block group is 52</w:t>
      </w:r>
      <w:r w:rsidR="00044AA6">
        <w:t>.33</w:t>
      </w:r>
      <w:r w:rsidR="00A01A51">
        <w:t xml:space="preserve">% LMI. However </w:t>
      </w:r>
      <w:r w:rsidR="00202AAD">
        <w:t xml:space="preserve">projects in </w:t>
      </w:r>
      <w:r w:rsidR="00A01A51">
        <w:t xml:space="preserve">this </w:t>
      </w:r>
      <w:r w:rsidR="00202AAD">
        <w:t>geography</w:t>
      </w:r>
      <w:r w:rsidR="00A01A51">
        <w:t xml:space="preserve"> </w:t>
      </w:r>
      <w:r w:rsidR="00202AAD">
        <w:t>would need to ensure they were complying with the HUD</w:t>
      </w:r>
      <w:r w:rsidR="00A01A51">
        <w:t xml:space="preserve"> regulation of </w:t>
      </w:r>
      <w:r w:rsidR="00202AAD">
        <w:t>benefitting a “primarily residential</w:t>
      </w:r>
      <w:r w:rsidR="00A01A51">
        <w:t>”</w:t>
      </w:r>
      <w:r w:rsidR="00202AAD">
        <w:t xml:space="preserve"> area. </w:t>
      </w:r>
      <w:r w:rsidR="00A01A51">
        <w:t xml:space="preserve"> </w:t>
      </w:r>
      <w:r w:rsidR="00A01A51">
        <w:rPr>
          <w:i/>
        </w:rPr>
        <w:t xml:space="preserve"> </w:t>
      </w:r>
    </w:p>
    <w:p w:rsidR="00A01A51" w:rsidRDefault="00A01A51" w:rsidP="00A01A51">
      <w:pPr>
        <w:ind w:right="-360"/>
      </w:pPr>
    </w:p>
    <w:p w:rsidR="00E34DA7" w:rsidRPr="009668F5" w:rsidRDefault="00DE1AA0" w:rsidP="003E349A">
      <w:pPr>
        <w:ind w:right="-360"/>
      </w:pPr>
      <w:r w:rsidRPr="00E34DA7">
        <w:rPr>
          <w:u w:val="single"/>
        </w:rPr>
        <w:t xml:space="preserve">Census Tract </w:t>
      </w:r>
      <w:r w:rsidR="00AC0CA2" w:rsidRPr="00E34DA7">
        <w:rPr>
          <w:u w:val="single"/>
        </w:rPr>
        <w:t>15, Block 3</w:t>
      </w:r>
      <w:r w:rsidR="00E34DA7" w:rsidRPr="00E34DA7">
        <w:rPr>
          <w:u w:val="single"/>
        </w:rPr>
        <w:t xml:space="preserve"> (Oakdale)</w:t>
      </w:r>
      <w:r w:rsidR="00E34DA7">
        <w:t xml:space="preserve"> – This area is bounded by Brighton Ave, Falmouth Street, and Forest Avenue. Under the 2000 Census data, the Census Tract was 50</w:t>
      </w:r>
      <w:r w:rsidR="00044AA6">
        <w:t>.29</w:t>
      </w:r>
      <w:r w:rsidR="00E34DA7">
        <w:t>% LMI and the block group was 31</w:t>
      </w:r>
      <w:r w:rsidR="00044AA6">
        <w:t>.49</w:t>
      </w:r>
      <w:r w:rsidR="00E34DA7">
        <w:t>% LMI. In the data from 2014, the Tract is 54</w:t>
      </w:r>
      <w:r w:rsidR="00044AA6">
        <w:t>.19% LMI and the block group is 63.59</w:t>
      </w:r>
      <w:r w:rsidR="00E34DA7">
        <w:t xml:space="preserve">% LMI. </w:t>
      </w:r>
    </w:p>
    <w:p w:rsidR="00E34DA7" w:rsidRDefault="00E34DA7" w:rsidP="003E349A">
      <w:pPr>
        <w:ind w:right="-360"/>
      </w:pPr>
    </w:p>
    <w:p w:rsidR="004C41D2" w:rsidRDefault="004C41D2" w:rsidP="003E349A">
      <w:pPr>
        <w:ind w:right="-360"/>
        <w:rPr>
          <w:b/>
        </w:rPr>
      </w:pPr>
      <w:r>
        <w:rPr>
          <w:b/>
        </w:rPr>
        <w:t>Other Eligibility Changes</w:t>
      </w:r>
    </w:p>
    <w:p w:rsidR="004C41D2" w:rsidRDefault="004C41D2" w:rsidP="003E349A">
      <w:pPr>
        <w:ind w:right="-360"/>
        <w:rPr>
          <w:b/>
        </w:rPr>
      </w:pPr>
    </w:p>
    <w:p w:rsidR="00796C02" w:rsidRDefault="00796C02" w:rsidP="003E349A">
      <w:pPr>
        <w:ind w:right="-360"/>
      </w:pPr>
      <w:r w:rsidRPr="005D6635">
        <w:rPr>
          <w:u w:val="single"/>
        </w:rPr>
        <w:t>Census Tract 1, Block Group 3 (</w:t>
      </w:r>
      <w:r w:rsidR="005D6635">
        <w:rPr>
          <w:u w:val="single"/>
        </w:rPr>
        <w:t>East End School</w:t>
      </w:r>
      <w:r w:rsidRPr="005D6635">
        <w:rPr>
          <w:u w:val="single"/>
        </w:rPr>
        <w:t>)</w:t>
      </w:r>
      <w:r>
        <w:t xml:space="preserve"> – This area that abuts the Eastern Prom</w:t>
      </w:r>
      <w:r w:rsidR="005D6635">
        <w:t xml:space="preserve"> and includes the East End School</w:t>
      </w:r>
      <w:r>
        <w:t xml:space="preserve"> is now income eligible </w:t>
      </w:r>
      <w:r w:rsidR="005D6635">
        <w:t xml:space="preserve">at 77.62% LMI, up from 45% LMI in 2000 data. </w:t>
      </w:r>
    </w:p>
    <w:p w:rsidR="005D6635" w:rsidRDefault="005D6635" w:rsidP="003E349A">
      <w:pPr>
        <w:ind w:right="-360"/>
      </w:pPr>
    </w:p>
    <w:p w:rsidR="005D6635" w:rsidRDefault="005D6635" w:rsidP="003E349A">
      <w:pPr>
        <w:ind w:right="-360"/>
      </w:pPr>
      <w:r w:rsidRPr="005D6635">
        <w:rPr>
          <w:u w:val="single"/>
        </w:rPr>
        <w:lastRenderedPageBreak/>
        <w:t>Census Tract 2, Block Group 1 (Eastern Promenade)</w:t>
      </w:r>
      <w:r>
        <w:t xml:space="preserve"> – This area also abuts the Eastern Prom and is now income eligible at 70.45% LMI, up from 35.83% LMI. </w:t>
      </w:r>
    </w:p>
    <w:p w:rsidR="00AF370F" w:rsidRDefault="00AF370F" w:rsidP="003E349A">
      <w:pPr>
        <w:ind w:right="-360"/>
      </w:pPr>
    </w:p>
    <w:p w:rsidR="00AF370F" w:rsidRDefault="00AF370F" w:rsidP="003E349A">
      <w:pPr>
        <w:ind w:right="-360"/>
      </w:pPr>
      <w:r w:rsidRPr="00AF370F">
        <w:rPr>
          <w:u w:val="single"/>
        </w:rPr>
        <w:t>Census Tract 11, Block Group 3 (West End)</w:t>
      </w:r>
      <w:r>
        <w:t xml:space="preserve">  - This is the area between State and High Streets in the West End, bounded by Spring Street to the north and Commercial Street to the South. It is now income eligible at 68.09% LMI, up from 48.50% LMI in 2000. </w:t>
      </w:r>
    </w:p>
    <w:p w:rsidR="00C161B9" w:rsidRDefault="00C161B9" w:rsidP="003E349A">
      <w:pPr>
        <w:ind w:right="-360"/>
      </w:pPr>
    </w:p>
    <w:p w:rsidR="00C161B9" w:rsidRPr="00796C02" w:rsidRDefault="00C161B9" w:rsidP="003E349A">
      <w:pPr>
        <w:ind w:right="-360"/>
      </w:pPr>
      <w:r w:rsidRPr="00C161B9">
        <w:rPr>
          <w:u w:val="single"/>
        </w:rPr>
        <w:t>Census Tract 2, Block Group 2 (</w:t>
      </w:r>
      <w:proofErr w:type="spellStart"/>
      <w:r w:rsidRPr="00C161B9">
        <w:rPr>
          <w:u w:val="single"/>
        </w:rPr>
        <w:t>Munjoy</w:t>
      </w:r>
      <w:proofErr w:type="spellEnd"/>
      <w:r w:rsidRPr="00C161B9">
        <w:rPr>
          <w:u w:val="single"/>
        </w:rPr>
        <w:t xml:space="preserve"> Hill), Census Tract 19, Block Group 1 (Deering Center), &amp; Census Tract 23, Block Group 2 (East Deering)</w:t>
      </w:r>
      <w:r>
        <w:t xml:space="preserve"> – All of these block groups decreased in LMI population and are no longer income eligible in data from 2014. </w:t>
      </w:r>
    </w:p>
    <w:p w:rsidR="004C41D2" w:rsidRDefault="004C41D2" w:rsidP="003E349A">
      <w:pPr>
        <w:ind w:right="-360"/>
        <w:rPr>
          <w:b/>
        </w:rPr>
      </w:pPr>
    </w:p>
    <w:p w:rsidR="0074168E" w:rsidRPr="0074168E" w:rsidRDefault="00E34DA7" w:rsidP="003E349A">
      <w:pPr>
        <w:ind w:right="-360"/>
        <w:rPr>
          <w:b/>
        </w:rPr>
      </w:pPr>
      <w:r>
        <w:rPr>
          <w:b/>
        </w:rPr>
        <w:t xml:space="preserve">LMA Considerations </w:t>
      </w:r>
      <w:proofErr w:type="gramStart"/>
      <w:r>
        <w:rPr>
          <w:b/>
        </w:rPr>
        <w:t>Beyond</w:t>
      </w:r>
      <w:proofErr w:type="gramEnd"/>
      <w:r>
        <w:rPr>
          <w:b/>
        </w:rPr>
        <w:t xml:space="preserve"> the Data </w:t>
      </w:r>
    </w:p>
    <w:p w:rsidR="00361630" w:rsidRDefault="00361630" w:rsidP="003E349A">
      <w:pPr>
        <w:ind w:right="-360"/>
      </w:pPr>
      <w:r>
        <w:t>T</w:t>
      </w:r>
      <w:r w:rsidR="0074168E">
        <w:t xml:space="preserve">he HUD regulations </w:t>
      </w:r>
      <w:r w:rsidR="0045613C">
        <w:t xml:space="preserve">define LMA activities as: </w:t>
      </w:r>
    </w:p>
    <w:p w:rsidR="00361630" w:rsidRDefault="00361630" w:rsidP="003E349A">
      <w:pPr>
        <w:ind w:right="-360"/>
      </w:pPr>
    </w:p>
    <w:p w:rsidR="00361630" w:rsidRPr="0045613C" w:rsidRDefault="0045613C" w:rsidP="003E349A">
      <w:pPr>
        <w:ind w:right="-360"/>
        <w:rPr>
          <w:i/>
        </w:rPr>
      </w:pPr>
      <w:proofErr w:type="gramStart"/>
      <w:r w:rsidRPr="0045613C">
        <w:rPr>
          <w:rFonts w:ascii="Arial" w:hAnsi="Arial" w:cs="Arial"/>
          <w:i/>
          <w:sz w:val="20"/>
          <w:szCs w:val="20"/>
        </w:rPr>
        <w:t>An activity, the benefits of which are available to all the residents in a particular area, where at least 51 percent of the residents are low and moderate income persons.</w:t>
      </w:r>
      <w:proofErr w:type="gramEnd"/>
      <w:r w:rsidRPr="0045613C">
        <w:rPr>
          <w:rFonts w:ascii="Arial" w:hAnsi="Arial" w:cs="Arial"/>
          <w:i/>
          <w:sz w:val="20"/>
          <w:szCs w:val="20"/>
        </w:rPr>
        <w:t xml:space="preserve"> Such an area need not be coterminous with census tracts or other officially recognized boundaries but must be the entire area served by the activity. An activity that serves an area that is not primarily residential in character shall not qualify under this criterion.</w:t>
      </w:r>
    </w:p>
    <w:p w:rsidR="00361630" w:rsidRDefault="00361630" w:rsidP="003E349A">
      <w:pPr>
        <w:ind w:right="-360"/>
      </w:pPr>
    </w:p>
    <w:p w:rsidR="00526F9C" w:rsidRPr="0045613C" w:rsidRDefault="00361630" w:rsidP="003E349A">
      <w:pPr>
        <w:ind w:right="-360"/>
      </w:pPr>
      <w:proofErr w:type="gramStart"/>
      <w:r>
        <w:t xml:space="preserve">So </w:t>
      </w:r>
      <w:r w:rsidR="0074168E">
        <w:t xml:space="preserve">while low income data is available at a Census Tract and block group level, </w:t>
      </w:r>
      <w:r w:rsidR="000B3308">
        <w:t>these</w:t>
      </w:r>
      <w:r w:rsidR="0074168E">
        <w:t xml:space="preserve"> boundaries</w:t>
      </w:r>
      <w:r w:rsidR="000B3308">
        <w:t xml:space="preserve"> alone</w:t>
      </w:r>
      <w:r w:rsidR="0074168E">
        <w:t xml:space="preserve"> </w:t>
      </w:r>
      <w:r w:rsidR="008330AD">
        <w:t xml:space="preserve">do not </w:t>
      </w:r>
      <w:r w:rsidR="0074168E">
        <w:t>guarantee a project’s eligibility.</w:t>
      </w:r>
      <w:proofErr w:type="gramEnd"/>
      <w:r w:rsidR="0074168E">
        <w:t xml:space="preserve"> Instead, they are meant to be guidance and reference for the entitlement to </w:t>
      </w:r>
      <w:r w:rsidR="00906897">
        <w:t xml:space="preserve">ultimately </w:t>
      </w:r>
      <w:r w:rsidR="0074168E">
        <w:t>determine the appropriateness of undertaking an activity in that area</w:t>
      </w:r>
      <w:r w:rsidR="0045613C">
        <w:t xml:space="preserve">. </w:t>
      </w:r>
      <w:r w:rsidR="008F4DA2">
        <w:t>For instance, a public facility that serves the neighborhood residents in a low-income area would be eligible, while a facility that caters to tourists or is a city-wide attraction but is located in</w:t>
      </w:r>
      <w:r w:rsidR="00906897">
        <w:t xml:space="preserve"> a low-income block </w:t>
      </w:r>
      <w:proofErr w:type="gramStart"/>
      <w:r w:rsidR="00906897">
        <w:t>group,</w:t>
      </w:r>
      <w:proofErr w:type="gramEnd"/>
      <w:r w:rsidR="00906897">
        <w:t xml:space="preserve"> may</w:t>
      </w:r>
      <w:r w:rsidR="008F4DA2">
        <w:t xml:space="preserve"> not</w:t>
      </w:r>
      <w:r w:rsidR="00D97197">
        <w:t xml:space="preserve"> necessarily be eligible</w:t>
      </w:r>
      <w:r w:rsidR="008F4DA2">
        <w:t xml:space="preserve">. </w:t>
      </w:r>
    </w:p>
    <w:p w:rsidR="00217DEE" w:rsidRPr="00361630" w:rsidRDefault="00217DEE" w:rsidP="00361630">
      <w:pPr>
        <w:ind w:right="-360"/>
      </w:pPr>
    </w:p>
    <w:p w:rsidR="00361630" w:rsidRDefault="00361630" w:rsidP="00361630">
      <w:pPr>
        <w:ind w:right="-360"/>
        <w:rPr>
          <w:b/>
        </w:rPr>
      </w:pPr>
      <w:r>
        <w:rPr>
          <w:b/>
        </w:rPr>
        <w:t xml:space="preserve">Summary of Eligibility Changes: </w:t>
      </w:r>
    </w:p>
    <w:p w:rsidR="00361630" w:rsidRPr="00217DEE" w:rsidRDefault="00361630" w:rsidP="00361630">
      <w:pPr>
        <w:pStyle w:val="ListParagraph"/>
        <w:numPr>
          <w:ilvl w:val="0"/>
          <w:numId w:val="4"/>
        </w:numPr>
        <w:ind w:right="-360"/>
        <w:rPr>
          <w:sz w:val="24"/>
          <w:szCs w:val="24"/>
        </w:rPr>
      </w:pPr>
      <w:r w:rsidRPr="00217DEE">
        <w:rPr>
          <w:rFonts w:ascii="Times New Roman" w:hAnsi="Times New Roman"/>
          <w:sz w:val="24"/>
          <w:szCs w:val="24"/>
        </w:rPr>
        <w:t>All of Census Tract 3 (</w:t>
      </w:r>
      <w:r>
        <w:rPr>
          <w:rFonts w:ascii="Times New Roman" w:hAnsi="Times New Roman"/>
          <w:sz w:val="24"/>
          <w:szCs w:val="24"/>
        </w:rPr>
        <w:t xml:space="preserve">includes </w:t>
      </w:r>
      <w:r w:rsidRPr="00217DEE">
        <w:rPr>
          <w:rFonts w:ascii="Times New Roman" w:hAnsi="Times New Roman"/>
          <w:sz w:val="24"/>
          <w:szCs w:val="24"/>
        </w:rPr>
        <w:t>downtown, Congress Square, Old Port</w:t>
      </w:r>
      <w:r>
        <w:rPr>
          <w:rFonts w:ascii="Times New Roman" w:hAnsi="Times New Roman"/>
          <w:sz w:val="24"/>
          <w:szCs w:val="24"/>
        </w:rPr>
        <w:t>, and waterfront</w:t>
      </w:r>
      <w:r w:rsidRPr="00217DEE">
        <w:rPr>
          <w:rFonts w:ascii="Times New Roman" w:hAnsi="Times New Roman"/>
          <w:sz w:val="24"/>
          <w:szCs w:val="24"/>
        </w:rPr>
        <w:t xml:space="preserve">) is now income eligible at both </w:t>
      </w:r>
      <w:r>
        <w:rPr>
          <w:rFonts w:ascii="Times New Roman" w:hAnsi="Times New Roman"/>
          <w:sz w:val="24"/>
          <w:szCs w:val="24"/>
        </w:rPr>
        <w:t xml:space="preserve">the Tract and block group level, though projects in this geography would need to </w:t>
      </w:r>
      <w:r w:rsidR="002E222A">
        <w:rPr>
          <w:rFonts w:ascii="Times New Roman" w:hAnsi="Times New Roman"/>
          <w:sz w:val="24"/>
          <w:szCs w:val="24"/>
        </w:rPr>
        <w:t>focus on</w:t>
      </w:r>
      <w:r w:rsidR="008940FC">
        <w:rPr>
          <w:rFonts w:ascii="Times New Roman" w:hAnsi="Times New Roman"/>
          <w:sz w:val="24"/>
          <w:szCs w:val="24"/>
        </w:rPr>
        <w:t xml:space="preserve"> primarily residential </w:t>
      </w:r>
      <w:r>
        <w:rPr>
          <w:rFonts w:ascii="Times New Roman" w:hAnsi="Times New Roman"/>
          <w:sz w:val="24"/>
          <w:szCs w:val="24"/>
        </w:rPr>
        <w:t>areas</w:t>
      </w:r>
      <w:r w:rsidR="002E222A">
        <w:rPr>
          <w:rFonts w:ascii="Times New Roman" w:hAnsi="Times New Roman"/>
          <w:sz w:val="24"/>
          <w:szCs w:val="24"/>
        </w:rPr>
        <w:t xml:space="preserve"> to comply with HUD regulations</w:t>
      </w:r>
      <w:r>
        <w:rPr>
          <w:rFonts w:ascii="Times New Roman" w:hAnsi="Times New Roman"/>
          <w:sz w:val="24"/>
          <w:szCs w:val="24"/>
        </w:rPr>
        <w:t xml:space="preserve">. </w:t>
      </w:r>
    </w:p>
    <w:p w:rsidR="00361630" w:rsidRPr="00776BA0" w:rsidRDefault="00361630" w:rsidP="00361630">
      <w:pPr>
        <w:pStyle w:val="ListParagraph"/>
        <w:numPr>
          <w:ilvl w:val="0"/>
          <w:numId w:val="4"/>
        </w:numPr>
        <w:ind w:right="-360"/>
        <w:rPr>
          <w:sz w:val="24"/>
          <w:szCs w:val="24"/>
        </w:rPr>
      </w:pPr>
      <w:r>
        <w:rPr>
          <w:rFonts w:ascii="Times New Roman" w:hAnsi="Times New Roman"/>
          <w:sz w:val="24"/>
          <w:szCs w:val="24"/>
        </w:rPr>
        <w:t>Parts of Oakdale</w:t>
      </w:r>
      <w:r w:rsidR="0045613C">
        <w:rPr>
          <w:rFonts w:ascii="Times New Roman" w:hAnsi="Times New Roman"/>
          <w:sz w:val="24"/>
          <w:szCs w:val="24"/>
        </w:rPr>
        <w:t xml:space="preserve"> and Forest Avenue</w:t>
      </w:r>
      <w:r>
        <w:rPr>
          <w:rFonts w:ascii="Times New Roman" w:hAnsi="Times New Roman"/>
          <w:sz w:val="24"/>
          <w:szCs w:val="24"/>
        </w:rPr>
        <w:t xml:space="preserve"> that were not previously LMI eligible in 2000 are now eligible in 2014, with or without the Census Tract Rule. </w:t>
      </w:r>
    </w:p>
    <w:p w:rsidR="00361630" w:rsidRPr="00776BA0" w:rsidRDefault="00361630" w:rsidP="00361630">
      <w:pPr>
        <w:pStyle w:val="ListParagraph"/>
        <w:numPr>
          <w:ilvl w:val="0"/>
          <w:numId w:val="4"/>
        </w:numPr>
        <w:ind w:right="-360"/>
        <w:rPr>
          <w:sz w:val="24"/>
          <w:szCs w:val="24"/>
        </w:rPr>
      </w:pPr>
      <w:r>
        <w:rPr>
          <w:rFonts w:ascii="Times New Roman" w:hAnsi="Times New Roman"/>
          <w:sz w:val="24"/>
          <w:szCs w:val="24"/>
        </w:rPr>
        <w:t>Except for the</w:t>
      </w:r>
      <w:r w:rsidR="004C41D2">
        <w:rPr>
          <w:rFonts w:ascii="Times New Roman" w:hAnsi="Times New Roman"/>
          <w:sz w:val="24"/>
          <w:szCs w:val="24"/>
        </w:rPr>
        <w:t xml:space="preserve"> West End historic district, </w:t>
      </w:r>
      <w:r>
        <w:rPr>
          <w:rFonts w:ascii="Times New Roman" w:hAnsi="Times New Roman"/>
          <w:sz w:val="24"/>
          <w:szCs w:val="24"/>
        </w:rPr>
        <w:t>the Western Promenade,</w:t>
      </w:r>
      <w:r w:rsidR="004C41D2">
        <w:rPr>
          <w:rFonts w:ascii="Times New Roman" w:hAnsi="Times New Roman"/>
          <w:sz w:val="24"/>
          <w:szCs w:val="24"/>
        </w:rPr>
        <w:t xml:space="preserve"> and part of </w:t>
      </w:r>
      <w:proofErr w:type="spellStart"/>
      <w:r w:rsidR="004C41D2">
        <w:rPr>
          <w:rFonts w:ascii="Times New Roman" w:hAnsi="Times New Roman"/>
          <w:sz w:val="24"/>
          <w:szCs w:val="24"/>
        </w:rPr>
        <w:t>Munjoy</w:t>
      </w:r>
      <w:proofErr w:type="spellEnd"/>
      <w:r w:rsidR="004C41D2">
        <w:rPr>
          <w:rFonts w:ascii="Times New Roman" w:hAnsi="Times New Roman"/>
          <w:sz w:val="24"/>
          <w:szCs w:val="24"/>
        </w:rPr>
        <w:t xml:space="preserve"> Hill</w:t>
      </w:r>
      <w:r>
        <w:rPr>
          <w:rFonts w:ascii="Times New Roman" w:hAnsi="Times New Roman"/>
          <w:sz w:val="24"/>
          <w:szCs w:val="24"/>
        </w:rPr>
        <w:t xml:space="preserve"> the peninsula is income eligible under 2014 data, with or without the Census Tract rule. </w:t>
      </w:r>
    </w:p>
    <w:p w:rsidR="00415AFA" w:rsidRPr="002E222A" w:rsidRDefault="00361630" w:rsidP="003E349A">
      <w:pPr>
        <w:pStyle w:val="ListParagraph"/>
        <w:numPr>
          <w:ilvl w:val="0"/>
          <w:numId w:val="4"/>
        </w:numPr>
        <w:ind w:right="-360"/>
        <w:rPr>
          <w:sz w:val="24"/>
          <w:szCs w:val="24"/>
        </w:rPr>
      </w:pPr>
      <w:r w:rsidRPr="00217DEE">
        <w:rPr>
          <w:rFonts w:ascii="Times New Roman" w:hAnsi="Times New Roman"/>
          <w:sz w:val="24"/>
          <w:szCs w:val="24"/>
        </w:rPr>
        <w:t>Applying the Census Tract</w:t>
      </w:r>
      <w:r>
        <w:rPr>
          <w:rFonts w:ascii="Times New Roman" w:hAnsi="Times New Roman"/>
          <w:sz w:val="24"/>
          <w:szCs w:val="24"/>
        </w:rPr>
        <w:t xml:space="preserve"> rule to 2014 data would eliminate the </w:t>
      </w:r>
      <w:proofErr w:type="spellStart"/>
      <w:r>
        <w:rPr>
          <w:rFonts w:ascii="Times New Roman" w:hAnsi="Times New Roman"/>
          <w:sz w:val="24"/>
          <w:szCs w:val="24"/>
        </w:rPr>
        <w:t>Libbytown</w:t>
      </w:r>
      <w:proofErr w:type="spellEnd"/>
      <w:r>
        <w:rPr>
          <w:rFonts w:ascii="Times New Roman" w:hAnsi="Times New Roman"/>
          <w:sz w:val="24"/>
          <w:szCs w:val="24"/>
        </w:rPr>
        <w:t xml:space="preserve"> neighborhood from CDBG eligibility. It would also continue to exclude off peninsula</w:t>
      </w:r>
      <w:r w:rsidRPr="00217DEE">
        <w:rPr>
          <w:rFonts w:ascii="Times New Roman" w:hAnsi="Times New Roman"/>
          <w:sz w:val="24"/>
          <w:szCs w:val="24"/>
        </w:rPr>
        <w:t xml:space="preserve"> </w:t>
      </w:r>
      <w:r>
        <w:rPr>
          <w:rFonts w:ascii="Times New Roman" w:hAnsi="Times New Roman"/>
          <w:sz w:val="24"/>
          <w:szCs w:val="24"/>
        </w:rPr>
        <w:t>areas</w:t>
      </w:r>
      <w:r w:rsidR="0045613C">
        <w:rPr>
          <w:rFonts w:ascii="Times New Roman" w:hAnsi="Times New Roman"/>
          <w:sz w:val="24"/>
          <w:szCs w:val="24"/>
        </w:rPr>
        <w:t xml:space="preserve"> that </w:t>
      </w:r>
      <w:r w:rsidR="00906897">
        <w:rPr>
          <w:rFonts w:ascii="Times New Roman" w:hAnsi="Times New Roman"/>
          <w:sz w:val="24"/>
          <w:szCs w:val="24"/>
        </w:rPr>
        <w:t>are eligible at the block group level</w:t>
      </w:r>
      <w:r w:rsidR="008940FC">
        <w:rPr>
          <w:rFonts w:ascii="Times New Roman" w:hAnsi="Times New Roman"/>
          <w:sz w:val="24"/>
          <w:szCs w:val="24"/>
        </w:rPr>
        <w:t>, such as p</w:t>
      </w:r>
      <w:r w:rsidR="00CD09EA">
        <w:rPr>
          <w:rFonts w:ascii="Times New Roman" w:hAnsi="Times New Roman"/>
          <w:sz w:val="24"/>
          <w:szCs w:val="24"/>
        </w:rPr>
        <w:t xml:space="preserve">arts of Riverton </w:t>
      </w:r>
      <w:bookmarkStart w:id="0" w:name="_GoBack"/>
      <w:bookmarkEnd w:id="0"/>
      <w:r>
        <w:rPr>
          <w:rFonts w:ascii="Times New Roman" w:hAnsi="Times New Roman"/>
          <w:sz w:val="24"/>
          <w:szCs w:val="24"/>
        </w:rPr>
        <w:t>and North Deering</w:t>
      </w:r>
      <w:r w:rsidR="00943A38">
        <w:rPr>
          <w:rFonts w:ascii="Times New Roman" w:hAnsi="Times New Roman"/>
          <w:sz w:val="24"/>
          <w:szCs w:val="24"/>
        </w:rPr>
        <w:t>.</w:t>
      </w:r>
    </w:p>
    <w:p w:rsidR="002121A5" w:rsidRDefault="002121A5" w:rsidP="003E349A">
      <w:pPr>
        <w:ind w:right="-360"/>
      </w:pPr>
    </w:p>
    <w:p w:rsidR="002121A5" w:rsidRPr="005A7400" w:rsidRDefault="002121A5" w:rsidP="003E349A">
      <w:pPr>
        <w:ind w:right="-360"/>
      </w:pPr>
    </w:p>
    <w:sectPr w:rsidR="002121A5" w:rsidRPr="005A7400" w:rsidSect="002E222A">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FD" w:rsidRDefault="005B70FD" w:rsidP="005B70FD">
      <w:r>
        <w:separator/>
      </w:r>
    </w:p>
  </w:endnote>
  <w:endnote w:type="continuationSeparator" w:id="0">
    <w:p w:rsidR="005B70FD" w:rsidRDefault="005B70FD" w:rsidP="005B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9680"/>
      <w:docPartObj>
        <w:docPartGallery w:val="Page Numbers (Bottom of Page)"/>
        <w:docPartUnique/>
      </w:docPartObj>
    </w:sdtPr>
    <w:sdtEndPr>
      <w:rPr>
        <w:noProof/>
      </w:rPr>
    </w:sdtEndPr>
    <w:sdtContent>
      <w:p w:rsidR="005B70FD" w:rsidRDefault="005B70FD">
        <w:pPr>
          <w:pStyle w:val="Footer"/>
          <w:jc w:val="right"/>
        </w:pPr>
        <w:r>
          <w:fldChar w:fldCharType="begin"/>
        </w:r>
        <w:r>
          <w:instrText xml:space="preserve"> PAGE   \* MERGEFORMAT </w:instrText>
        </w:r>
        <w:r>
          <w:fldChar w:fldCharType="separate"/>
        </w:r>
        <w:r w:rsidR="00CD09EA">
          <w:rPr>
            <w:noProof/>
          </w:rPr>
          <w:t>4</w:t>
        </w:r>
        <w:r>
          <w:rPr>
            <w:noProof/>
          </w:rPr>
          <w:fldChar w:fldCharType="end"/>
        </w:r>
      </w:p>
    </w:sdtContent>
  </w:sdt>
  <w:p w:rsidR="005B70FD" w:rsidRDefault="005B7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FD" w:rsidRDefault="005B70FD" w:rsidP="005B70FD">
      <w:r>
        <w:separator/>
      </w:r>
    </w:p>
  </w:footnote>
  <w:footnote w:type="continuationSeparator" w:id="0">
    <w:p w:rsidR="005B70FD" w:rsidRDefault="005B70FD" w:rsidP="005B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1B5"/>
    <w:multiLevelType w:val="hybridMultilevel"/>
    <w:tmpl w:val="1DA8266E"/>
    <w:lvl w:ilvl="0" w:tplc="B2A01D7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B860121"/>
    <w:multiLevelType w:val="hybridMultilevel"/>
    <w:tmpl w:val="E66A1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6EC0D37"/>
    <w:multiLevelType w:val="hybridMultilevel"/>
    <w:tmpl w:val="971E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FA22665"/>
    <w:multiLevelType w:val="hybridMultilevel"/>
    <w:tmpl w:val="316C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9A"/>
    <w:rsid w:val="000125CA"/>
    <w:rsid w:val="00025A3B"/>
    <w:rsid w:val="000305E0"/>
    <w:rsid w:val="0003365A"/>
    <w:rsid w:val="00044AA6"/>
    <w:rsid w:val="000664D2"/>
    <w:rsid w:val="00077F60"/>
    <w:rsid w:val="000B3308"/>
    <w:rsid w:val="000C23DE"/>
    <w:rsid w:val="000D4886"/>
    <w:rsid w:val="001164E3"/>
    <w:rsid w:val="00134403"/>
    <w:rsid w:val="00160509"/>
    <w:rsid w:val="0016356B"/>
    <w:rsid w:val="00163BBF"/>
    <w:rsid w:val="0016571A"/>
    <w:rsid w:val="00176318"/>
    <w:rsid w:val="00181F47"/>
    <w:rsid w:val="00197E33"/>
    <w:rsid w:val="00202AAD"/>
    <w:rsid w:val="002121A5"/>
    <w:rsid w:val="00217DEE"/>
    <w:rsid w:val="0022131D"/>
    <w:rsid w:val="0023336A"/>
    <w:rsid w:val="00237147"/>
    <w:rsid w:val="002536AD"/>
    <w:rsid w:val="002700EE"/>
    <w:rsid w:val="00292A11"/>
    <w:rsid w:val="002A0A67"/>
    <w:rsid w:val="002B7AD2"/>
    <w:rsid w:val="002C37B2"/>
    <w:rsid w:val="002C4F3C"/>
    <w:rsid w:val="002D6500"/>
    <w:rsid w:val="002D6EC5"/>
    <w:rsid w:val="002D7F81"/>
    <w:rsid w:val="002E222A"/>
    <w:rsid w:val="0030195C"/>
    <w:rsid w:val="00307258"/>
    <w:rsid w:val="003250D1"/>
    <w:rsid w:val="0034246D"/>
    <w:rsid w:val="00361630"/>
    <w:rsid w:val="0038152B"/>
    <w:rsid w:val="00392475"/>
    <w:rsid w:val="003C06F2"/>
    <w:rsid w:val="003E349A"/>
    <w:rsid w:val="003F2A1F"/>
    <w:rsid w:val="00415AFA"/>
    <w:rsid w:val="0043575D"/>
    <w:rsid w:val="0045613C"/>
    <w:rsid w:val="00496B16"/>
    <w:rsid w:val="004C41D2"/>
    <w:rsid w:val="00503171"/>
    <w:rsid w:val="00526F9C"/>
    <w:rsid w:val="005327A2"/>
    <w:rsid w:val="00552812"/>
    <w:rsid w:val="0056088F"/>
    <w:rsid w:val="005771B7"/>
    <w:rsid w:val="005A2831"/>
    <w:rsid w:val="005A7400"/>
    <w:rsid w:val="005B12AC"/>
    <w:rsid w:val="005B70FD"/>
    <w:rsid w:val="005D6635"/>
    <w:rsid w:val="005F274B"/>
    <w:rsid w:val="005F680F"/>
    <w:rsid w:val="00610132"/>
    <w:rsid w:val="00616FBF"/>
    <w:rsid w:val="00642A8E"/>
    <w:rsid w:val="006519A9"/>
    <w:rsid w:val="00662DDA"/>
    <w:rsid w:val="006B071E"/>
    <w:rsid w:val="006E4405"/>
    <w:rsid w:val="006F33DF"/>
    <w:rsid w:val="00700245"/>
    <w:rsid w:val="0070027B"/>
    <w:rsid w:val="00714CF1"/>
    <w:rsid w:val="0074168E"/>
    <w:rsid w:val="00750AC1"/>
    <w:rsid w:val="00776BA0"/>
    <w:rsid w:val="00796C02"/>
    <w:rsid w:val="007F00E7"/>
    <w:rsid w:val="008330AD"/>
    <w:rsid w:val="00851E05"/>
    <w:rsid w:val="00863087"/>
    <w:rsid w:val="00880E55"/>
    <w:rsid w:val="008940FC"/>
    <w:rsid w:val="008A65AF"/>
    <w:rsid w:val="008D3B78"/>
    <w:rsid w:val="008E1501"/>
    <w:rsid w:val="008F4DA2"/>
    <w:rsid w:val="008F7DAA"/>
    <w:rsid w:val="00902B6B"/>
    <w:rsid w:val="00906897"/>
    <w:rsid w:val="009359EE"/>
    <w:rsid w:val="00943A38"/>
    <w:rsid w:val="00944EDD"/>
    <w:rsid w:val="009668F5"/>
    <w:rsid w:val="009E5AC8"/>
    <w:rsid w:val="00A01A51"/>
    <w:rsid w:val="00A350FF"/>
    <w:rsid w:val="00A42742"/>
    <w:rsid w:val="00A86B99"/>
    <w:rsid w:val="00A92B54"/>
    <w:rsid w:val="00AC0CA2"/>
    <w:rsid w:val="00AC539B"/>
    <w:rsid w:val="00AF370F"/>
    <w:rsid w:val="00BD6C90"/>
    <w:rsid w:val="00C13209"/>
    <w:rsid w:val="00C161B9"/>
    <w:rsid w:val="00C56B49"/>
    <w:rsid w:val="00C755AE"/>
    <w:rsid w:val="00C90C0C"/>
    <w:rsid w:val="00CD09EA"/>
    <w:rsid w:val="00CD7E0D"/>
    <w:rsid w:val="00D831E1"/>
    <w:rsid w:val="00D96C27"/>
    <w:rsid w:val="00D97176"/>
    <w:rsid w:val="00D97197"/>
    <w:rsid w:val="00DA0CAE"/>
    <w:rsid w:val="00DA3EFA"/>
    <w:rsid w:val="00DC4389"/>
    <w:rsid w:val="00DC59CB"/>
    <w:rsid w:val="00DE1AA0"/>
    <w:rsid w:val="00E34DA7"/>
    <w:rsid w:val="00E449CC"/>
    <w:rsid w:val="00E7737A"/>
    <w:rsid w:val="00E87387"/>
    <w:rsid w:val="00EA11A2"/>
    <w:rsid w:val="00EC0126"/>
    <w:rsid w:val="00EE43F8"/>
    <w:rsid w:val="00EE6AA3"/>
    <w:rsid w:val="00EF0A60"/>
    <w:rsid w:val="00F14931"/>
    <w:rsid w:val="00F33E36"/>
    <w:rsid w:val="00F54CD1"/>
    <w:rsid w:val="00F54FAB"/>
    <w:rsid w:val="00F70A17"/>
    <w:rsid w:val="00FE6AB9"/>
    <w:rsid w:val="00F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49A"/>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02AAD"/>
    <w:rPr>
      <w:rFonts w:ascii="Tahoma" w:hAnsi="Tahoma" w:cs="Tahoma"/>
      <w:sz w:val="16"/>
      <w:szCs w:val="16"/>
    </w:rPr>
  </w:style>
  <w:style w:type="character" w:customStyle="1" w:styleId="BalloonTextChar">
    <w:name w:val="Balloon Text Char"/>
    <w:basedOn w:val="DefaultParagraphFont"/>
    <w:link w:val="BalloonText"/>
    <w:uiPriority w:val="99"/>
    <w:semiHidden/>
    <w:rsid w:val="00202AAD"/>
    <w:rPr>
      <w:rFonts w:ascii="Tahoma" w:eastAsia="Times New Roman" w:hAnsi="Tahoma" w:cs="Tahoma"/>
      <w:sz w:val="16"/>
      <w:szCs w:val="16"/>
    </w:rPr>
  </w:style>
  <w:style w:type="paragraph" w:styleId="Header">
    <w:name w:val="header"/>
    <w:basedOn w:val="Normal"/>
    <w:link w:val="HeaderChar"/>
    <w:uiPriority w:val="99"/>
    <w:unhideWhenUsed/>
    <w:rsid w:val="005B70FD"/>
    <w:pPr>
      <w:tabs>
        <w:tab w:val="center" w:pos="4680"/>
        <w:tab w:val="right" w:pos="9360"/>
      </w:tabs>
    </w:pPr>
  </w:style>
  <w:style w:type="character" w:customStyle="1" w:styleId="HeaderChar">
    <w:name w:val="Header Char"/>
    <w:basedOn w:val="DefaultParagraphFont"/>
    <w:link w:val="Header"/>
    <w:uiPriority w:val="99"/>
    <w:rsid w:val="005B70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70FD"/>
    <w:pPr>
      <w:tabs>
        <w:tab w:val="center" w:pos="4680"/>
        <w:tab w:val="right" w:pos="9360"/>
      </w:tabs>
    </w:pPr>
  </w:style>
  <w:style w:type="character" w:customStyle="1" w:styleId="FooterChar">
    <w:name w:val="Footer Char"/>
    <w:basedOn w:val="DefaultParagraphFont"/>
    <w:link w:val="Footer"/>
    <w:uiPriority w:val="99"/>
    <w:rsid w:val="005B70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49A"/>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02AAD"/>
    <w:rPr>
      <w:rFonts w:ascii="Tahoma" w:hAnsi="Tahoma" w:cs="Tahoma"/>
      <w:sz w:val="16"/>
      <w:szCs w:val="16"/>
    </w:rPr>
  </w:style>
  <w:style w:type="character" w:customStyle="1" w:styleId="BalloonTextChar">
    <w:name w:val="Balloon Text Char"/>
    <w:basedOn w:val="DefaultParagraphFont"/>
    <w:link w:val="BalloonText"/>
    <w:uiPriority w:val="99"/>
    <w:semiHidden/>
    <w:rsid w:val="00202AAD"/>
    <w:rPr>
      <w:rFonts w:ascii="Tahoma" w:eastAsia="Times New Roman" w:hAnsi="Tahoma" w:cs="Tahoma"/>
      <w:sz w:val="16"/>
      <w:szCs w:val="16"/>
    </w:rPr>
  </w:style>
  <w:style w:type="paragraph" w:styleId="Header">
    <w:name w:val="header"/>
    <w:basedOn w:val="Normal"/>
    <w:link w:val="HeaderChar"/>
    <w:uiPriority w:val="99"/>
    <w:unhideWhenUsed/>
    <w:rsid w:val="005B70FD"/>
    <w:pPr>
      <w:tabs>
        <w:tab w:val="center" w:pos="4680"/>
        <w:tab w:val="right" w:pos="9360"/>
      </w:tabs>
    </w:pPr>
  </w:style>
  <w:style w:type="character" w:customStyle="1" w:styleId="HeaderChar">
    <w:name w:val="Header Char"/>
    <w:basedOn w:val="DefaultParagraphFont"/>
    <w:link w:val="Header"/>
    <w:uiPriority w:val="99"/>
    <w:rsid w:val="005B70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70FD"/>
    <w:pPr>
      <w:tabs>
        <w:tab w:val="center" w:pos="4680"/>
        <w:tab w:val="right" w:pos="9360"/>
      </w:tabs>
    </w:pPr>
  </w:style>
  <w:style w:type="character" w:customStyle="1" w:styleId="FooterChar">
    <w:name w:val="Footer Char"/>
    <w:basedOn w:val="DefaultParagraphFont"/>
    <w:link w:val="Footer"/>
    <w:uiPriority w:val="99"/>
    <w:rsid w:val="005B70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6319">
      <w:bodyDiv w:val="1"/>
      <w:marLeft w:val="0"/>
      <w:marRight w:val="0"/>
      <w:marTop w:val="0"/>
      <w:marBottom w:val="0"/>
      <w:divBdr>
        <w:top w:val="none" w:sz="0" w:space="0" w:color="auto"/>
        <w:left w:val="none" w:sz="0" w:space="0" w:color="auto"/>
        <w:bottom w:val="none" w:sz="0" w:space="0" w:color="auto"/>
        <w:right w:val="none" w:sz="0" w:space="0" w:color="auto"/>
      </w:divBdr>
    </w:div>
    <w:div w:id="820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4</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 Hanig</dc:creator>
  <cp:lastModifiedBy>maeve wachowicz</cp:lastModifiedBy>
  <cp:revision>113</cp:revision>
  <cp:lastPrinted>2015-02-25T15:28:00Z</cp:lastPrinted>
  <dcterms:created xsi:type="dcterms:W3CDTF">2015-01-07T15:47:00Z</dcterms:created>
  <dcterms:modified xsi:type="dcterms:W3CDTF">2015-02-25T19:35:00Z</dcterms:modified>
</cp:coreProperties>
</file>