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8F" w:rsidRPr="006127BB" w:rsidRDefault="00F8088F" w:rsidP="00562142">
      <w:pPr>
        <w:ind w:right="-360"/>
        <w:rPr>
          <w:rFonts w:asciiTheme="majorHAnsi" w:hAnsiTheme="majorHAnsi"/>
        </w:rPr>
      </w:pPr>
      <w:r w:rsidRPr="006127BB">
        <w:rPr>
          <w:rFonts w:asciiTheme="majorHAnsi" w:hAnsiTheme="majorHAnsi"/>
        </w:rPr>
        <w:t xml:space="preserve">To:  </w:t>
      </w:r>
      <w:r w:rsidRPr="006127BB">
        <w:rPr>
          <w:rFonts w:asciiTheme="majorHAnsi" w:hAnsiTheme="majorHAnsi"/>
        </w:rPr>
        <w:tab/>
      </w:r>
      <w:r w:rsidRPr="006127BB">
        <w:rPr>
          <w:rFonts w:asciiTheme="majorHAnsi" w:hAnsiTheme="majorHAnsi"/>
        </w:rPr>
        <w:tab/>
        <w:t xml:space="preserve">Sheila Hill-Christian, Acting City Manager </w:t>
      </w:r>
    </w:p>
    <w:p w:rsidR="00F8088F" w:rsidRPr="006127BB" w:rsidRDefault="00F8088F" w:rsidP="00562142">
      <w:pPr>
        <w:ind w:right="-360"/>
        <w:rPr>
          <w:rFonts w:asciiTheme="majorHAnsi" w:hAnsiTheme="majorHAnsi"/>
        </w:rPr>
      </w:pPr>
      <w:r w:rsidRPr="006127BB">
        <w:rPr>
          <w:rFonts w:asciiTheme="majorHAnsi" w:hAnsiTheme="majorHAnsi"/>
        </w:rPr>
        <w:t xml:space="preserve">From: </w:t>
      </w:r>
      <w:r w:rsidRPr="006127BB">
        <w:rPr>
          <w:rFonts w:asciiTheme="majorHAnsi" w:hAnsiTheme="majorHAnsi"/>
        </w:rPr>
        <w:tab/>
      </w:r>
      <w:r w:rsidRPr="006127BB">
        <w:rPr>
          <w:rFonts w:asciiTheme="majorHAnsi" w:hAnsiTheme="majorHAnsi"/>
        </w:rPr>
        <w:tab/>
        <w:t>Mary Davis, Director, Housing and Community Development Division</w:t>
      </w:r>
    </w:p>
    <w:p w:rsidR="00F8088F" w:rsidRPr="006127BB" w:rsidRDefault="00F8088F" w:rsidP="00562142">
      <w:pPr>
        <w:ind w:right="-360"/>
        <w:rPr>
          <w:rFonts w:asciiTheme="majorHAnsi" w:hAnsiTheme="majorHAnsi"/>
        </w:rPr>
      </w:pPr>
      <w:r w:rsidRPr="006127BB">
        <w:rPr>
          <w:rFonts w:asciiTheme="majorHAnsi" w:hAnsiTheme="majorHAnsi"/>
        </w:rPr>
        <w:t>Cc:</w:t>
      </w:r>
      <w:r w:rsidRPr="006127BB">
        <w:rPr>
          <w:rFonts w:asciiTheme="majorHAnsi" w:hAnsiTheme="majorHAnsi"/>
        </w:rPr>
        <w:tab/>
      </w:r>
      <w:r w:rsidRPr="006127BB">
        <w:rPr>
          <w:rFonts w:asciiTheme="majorHAnsi" w:hAnsiTheme="majorHAnsi"/>
        </w:rPr>
        <w:tab/>
        <w:t>Jeff Levine, Director, Planning and Urban Development Department</w:t>
      </w:r>
    </w:p>
    <w:p w:rsidR="00F8088F" w:rsidRPr="006127BB" w:rsidRDefault="00F8088F" w:rsidP="00562142">
      <w:pPr>
        <w:ind w:right="-360"/>
        <w:rPr>
          <w:rFonts w:asciiTheme="majorHAnsi" w:hAnsiTheme="majorHAnsi"/>
        </w:rPr>
      </w:pPr>
      <w:r w:rsidRPr="006127BB">
        <w:rPr>
          <w:rFonts w:asciiTheme="majorHAnsi" w:hAnsiTheme="majorHAnsi"/>
        </w:rPr>
        <w:tab/>
      </w:r>
      <w:r w:rsidRPr="006127BB">
        <w:rPr>
          <w:rFonts w:asciiTheme="majorHAnsi" w:hAnsiTheme="majorHAnsi"/>
        </w:rPr>
        <w:tab/>
        <w:t xml:space="preserve">Amy </w:t>
      </w:r>
      <w:proofErr w:type="spellStart"/>
      <w:r w:rsidRPr="006127BB">
        <w:rPr>
          <w:rFonts w:asciiTheme="majorHAnsi" w:hAnsiTheme="majorHAnsi"/>
        </w:rPr>
        <w:t>Grommes</w:t>
      </w:r>
      <w:proofErr w:type="spellEnd"/>
      <w:r w:rsidRPr="006127BB">
        <w:rPr>
          <w:rFonts w:asciiTheme="majorHAnsi" w:hAnsiTheme="majorHAnsi"/>
        </w:rPr>
        <w:t xml:space="preserve"> Pulaski, HCD Program Manager </w:t>
      </w:r>
    </w:p>
    <w:p w:rsidR="00F8088F" w:rsidRPr="006127BB" w:rsidRDefault="00F8088F" w:rsidP="00562142">
      <w:pPr>
        <w:ind w:right="-360"/>
        <w:rPr>
          <w:rFonts w:asciiTheme="majorHAnsi" w:hAnsiTheme="majorHAnsi"/>
        </w:rPr>
      </w:pPr>
      <w:r w:rsidRPr="006127BB">
        <w:rPr>
          <w:rFonts w:asciiTheme="majorHAnsi" w:hAnsiTheme="majorHAnsi"/>
        </w:rPr>
        <w:t>Date:</w:t>
      </w:r>
      <w:r w:rsidRPr="006127BB">
        <w:rPr>
          <w:rFonts w:asciiTheme="majorHAnsi" w:hAnsiTheme="majorHAnsi"/>
        </w:rPr>
        <w:tab/>
      </w:r>
      <w:r w:rsidRPr="006127BB">
        <w:rPr>
          <w:rFonts w:asciiTheme="majorHAnsi" w:hAnsiTheme="majorHAnsi"/>
        </w:rPr>
        <w:tab/>
        <w:t xml:space="preserve">March </w:t>
      </w:r>
      <w:r w:rsidR="00640A65" w:rsidRPr="006127BB">
        <w:rPr>
          <w:rFonts w:asciiTheme="majorHAnsi" w:hAnsiTheme="majorHAnsi"/>
        </w:rPr>
        <w:t>30</w:t>
      </w:r>
      <w:r w:rsidRPr="006127BB">
        <w:rPr>
          <w:rFonts w:asciiTheme="majorHAnsi" w:hAnsiTheme="majorHAnsi"/>
        </w:rPr>
        <w:t>, 2015</w:t>
      </w:r>
    </w:p>
    <w:p w:rsidR="00F8088F" w:rsidRPr="006127BB" w:rsidRDefault="00F8088F" w:rsidP="00562142">
      <w:pPr>
        <w:ind w:left="720" w:right="-360" w:hanging="720"/>
        <w:rPr>
          <w:rFonts w:asciiTheme="majorHAnsi" w:hAnsiTheme="majorHAnsi"/>
          <w:b/>
        </w:rPr>
      </w:pPr>
      <w:r w:rsidRPr="006127BB">
        <w:rPr>
          <w:rFonts w:asciiTheme="majorHAnsi" w:hAnsiTheme="majorHAnsi"/>
          <w:b/>
        </w:rPr>
        <w:t>RE:</w:t>
      </w:r>
      <w:r w:rsidRPr="006127BB">
        <w:rPr>
          <w:rFonts w:asciiTheme="majorHAnsi" w:hAnsiTheme="majorHAnsi"/>
          <w:b/>
        </w:rPr>
        <w:tab/>
      </w:r>
      <w:r w:rsidRPr="006127BB">
        <w:rPr>
          <w:rFonts w:asciiTheme="majorHAnsi" w:hAnsiTheme="majorHAnsi"/>
          <w:b/>
        </w:rPr>
        <w:tab/>
        <w:t xml:space="preserve">CDBG Targeted Areas Map </w:t>
      </w:r>
    </w:p>
    <w:p w:rsidR="00F8088F" w:rsidRPr="006127BB" w:rsidRDefault="00F8088F" w:rsidP="00F8088F">
      <w:pPr>
        <w:ind w:right="-360"/>
        <w:rPr>
          <w:rFonts w:asciiTheme="majorHAnsi" w:hAnsiTheme="majorHAnsi"/>
          <w:b/>
        </w:rPr>
      </w:pPr>
    </w:p>
    <w:p w:rsidR="00C0320D" w:rsidRPr="006127BB" w:rsidRDefault="00F8088F" w:rsidP="00F8088F">
      <w:pPr>
        <w:ind w:right="-360"/>
        <w:rPr>
          <w:rFonts w:asciiTheme="majorHAnsi" w:hAnsiTheme="majorHAnsi"/>
        </w:rPr>
      </w:pPr>
      <w:proofErr w:type="gramStart"/>
      <w:r w:rsidRPr="006127BB">
        <w:rPr>
          <w:rFonts w:asciiTheme="majorHAnsi" w:hAnsiTheme="majorHAnsi"/>
          <w:b/>
        </w:rPr>
        <w:t>Background</w:t>
      </w:r>
      <w:r w:rsidR="00562142" w:rsidRPr="006127BB">
        <w:rPr>
          <w:rFonts w:asciiTheme="majorHAnsi" w:hAnsiTheme="majorHAnsi"/>
          <w:b/>
        </w:rPr>
        <w:t>.</w:t>
      </w:r>
      <w:proofErr w:type="gramEnd"/>
      <w:r w:rsidR="00562142" w:rsidRPr="006127BB">
        <w:rPr>
          <w:rFonts w:asciiTheme="majorHAnsi" w:hAnsiTheme="majorHAnsi"/>
          <w:b/>
        </w:rPr>
        <w:t xml:space="preserve">  </w:t>
      </w:r>
      <w:r w:rsidRPr="006127BB">
        <w:rPr>
          <w:rFonts w:asciiTheme="majorHAnsi" w:hAnsiTheme="majorHAnsi"/>
        </w:rPr>
        <w:t xml:space="preserve">CDBG Program regulations require that </w:t>
      </w:r>
      <w:r w:rsidR="00C30957" w:rsidRPr="006127BB">
        <w:rPr>
          <w:rFonts w:asciiTheme="majorHAnsi" w:hAnsiTheme="majorHAnsi"/>
        </w:rPr>
        <w:t xml:space="preserve">funded </w:t>
      </w:r>
      <w:r w:rsidRPr="006127BB">
        <w:rPr>
          <w:rFonts w:asciiTheme="majorHAnsi" w:hAnsiTheme="majorHAnsi"/>
        </w:rPr>
        <w:t>activities must meet one of three national objectives</w:t>
      </w:r>
      <w:r w:rsidR="00C30957" w:rsidRPr="006127BB">
        <w:rPr>
          <w:rFonts w:asciiTheme="majorHAnsi" w:hAnsiTheme="majorHAnsi"/>
        </w:rPr>
        <w:t xml:space="preserve">.   The national objective most frequently utilized in Portland is benefitting </w:t>
      </w:r>
      <w:r w:rsidRPr="006127BB">
        <w:rPr>
          <w:rFonts w:asciiTheme="majorHAnsi" w:hAnsiTheme="majorHAnsi"/>
        </w:rPr>
        <w:t>low and moderate income persons</w:t>
      </w:r>
      <w:r w:rsidR="00C30957" w:rsidRPr="006127BB">
        <w:rPr>
          <w:rFonts w:asciiTheme="majorHAnsi" w:hAnsiTheme="majorHAnsi"/>
        </w:rPr>
        <w:t xml:space="preserve">.   This benefit can be on an individual basis (person directly benefiting from the activity or service) or an </w:t>
      </w:r>
      <w:r w:rsidRPr="006127BB">
        <w:rPr>
          <w:rFonts w:asciiTheme="majorHAnsi" w:hAnsiTheme="majorHAnsi"/>
        </w:rPr>
        <w:t>area-wide basis</w:t>
      </w:r>
      <w:r w:rsidR="00C30957" w:rsidRPr="006127BB">
        <w:rPr>
          <w:rFonts w:asciiTheme="majorHAnsi" w:hAnsiTheme="majorHAnsi"/>
        </w:rPr>
        <w:t xml:space="preserve"> (</w:t>
      </w:r>
      <w:r w:rsidRPr="006127BB">
        <w:rPr>
          <w:rFonts w:asciiTheme="majorHAnsi" w:hAnsiTheme="majorHAnsi"/>
        </w:rPr>
        <w:t>the population of that area must be at least 51% low-moderate income</w:t>
      </w:r>
      <w:r w:rsidR="00C30957" w:rsidRPr="006127BB">
        <w:rPr>
          <w:rFonts w:asciiTheme="majorHAnsi" w:hAnsiTheme="majorHAnsi"/>
        </w:rPr>
        <w:t>)</w:t>
      </w:r>
      <w:r w:rsidRPr="006127BB">
        <w:rPr>
          <w:rFonts w:asciiTheme="majorHAnsi" w:hAnsiTheme="majorHAnsi"/>
        </w:rPr>
        <w:t xml:space="preserve">. </w:t>
      </w:r>
      <w:r w:rsidR="00C0320D" w:rsidRPr="006127BB">
        <w:rPr>
          <w:rFonts w:asciiTheme="majorHAnsi" w:hAnsiTheme="majorHAnsi"/>
        </w:rPr>
        <w:t xml:space="preserve"> </w:t>
      </w:r>
      <w:r w:rsidR="00C30957" w:rsidRPr="006127BB">
        <w:rPr>
          <w:rFonts w:asciiTheme="majorHAnsi" w:hAnsiTheme="majorHAnsi"/>
        </w:rPr>
        <w:t xml:space="preserve">Our </w:t>
      </w:r>
      <w:r w:rsidR="00C0320D" w:rsidRPr="006127BB">
        <w:rPr>
          <w:rFonts w:asciiTheme="majorHAnsi" w:hAnsiTheme="majorHAnsi"/>
        </w:rPr>
        <w:t xml:space="preserve">office </w:t>
      </w:r>
      <w:r w:rsidRPr="006127BB">
        <w:rPr>
          <w:rFonts w:asciiTheme="majorHAnsi" w:hAnsiTheme="majorHAnsi"/>
        </w:rPr>
        <w:t>utilizes a map displaying Census or American Community Survey (ACS) data of low-moderate income population in</w:t>
      </w:r>
      <w:r w:rsidR="00B67EEA" w:rsidRPr="006127BB">
        <w:rPr>
          <w:rFonts w:asciiTheme="majorHAnsi" w:hAnsiTheme="majorHAnsi"/>
        </w:rPr>
        <w:t xml:space="preserve"> targeted areas of </w:t>
      </w:r>
      <w:r w:rsidRPr="006127BB">
        <w:rPr>
          <w:rFonts w:asciiTheme="majorHAnsi" w:hAnsiTheme="majorHAnsi"/>
        </w:rPr>
        <w:t xml:space="preserve">the City of Portland as a reference tool.  </w:t>
      </w:r>
    </w:p>
    <w:p w:rsidR="00C0320D" w:rsidRPr="006127BB" w:rsidRDefault="00C0320D" w:rsidP="00F8088F">
      <w:pPr>
        <w:ind w:right="-360"/>
        <w:rPr>
          <w:rFonts w:asciiTheme="majorHAnsi" w:hAnsiTheme="majorHAnsi"/>
        </w:rPr>
      </w:pPr>
    </w:p>
    <w:p w:rsidR="00F8088F" w:rsidRPr="006127BB" w:rsidRDefault="00F8088F" w:rsidP="00F8088F">
      <w:pPr>
        <w:ind w:right="-360"/>
        <w:rPr>
          <w:rFonts w:asciiTheme="majorHAnsi" w:hAnsiTheme="majorHAnsi"/>
        </w:rPr>
      </w:pPr>
      <w:r w:rsidRPr="006127BB">
        <w:rPr>
          <w:rFonts w:asciiTheme="majorHAnsi" w:hAnsiTheme="majorHAnsi"/>
        </w:rPr>
        <w:t>Th</w:t>
      </w:r>
      <w:r w:rsidR="00C0320D" w:rsidRPr="006127BB">
        <w:rPr>
          <w:rFonts w:asciiTheme="majorHAnsi" w:hAnsiTheme="majorHAnsi"/>
        </w:rPr>
        <w:t xml:space="preserve">e </w:t>
      </w:r>
      <w:r w:rsidR="007164BD" w:rsidRPr="006127BB">
        <w:rPr>
          <w:rFonts w:asciiTheme="majorHAnsi" w:hAnsiTheme="majorHAnsi"/>
        </w:rPr>
        <w:t xml:space="preserve">current </w:t>
      </w:r>
      <w:r w:rsidR="00C0320D" w:rsidRPr="006127BB">
        <w:rPr>
          <w:rFonts w:asciiTheme="majorHAnsi" w:hAnsiTheme="majorHAnsi"/>
        </w:rPr>
        <w:t xml:space="preserve">map </w:t>
      </w:r>
      <w:r w:rsidRPr="006127BB">
        <w:rPr>
          <w:rFonts w:asciiTheme="majorHAnsi" w:hAnsiTheme="majorHAnsi"/>
        </w:rPr>
        <w:t xml:space="preserve">was </w:t>
      </w:r>
      <w:r w:rsidR="00C0320D" w:rsidRPr="006127BB">
        <w:rPr>
          <w:rFonts w:asciiTheme="majorHAnsi" w:hAnsiTheme="majorHAnsi"/>
        </w:rPr>
        <w:t xml:space="preserve">created </w:t>
      </w:r>
      <w:r w:rsidRPr="006127BB">
        <w:rPr>
          <w:rFonts w:asciiTheme="majorHAnsi" w:hAnsiTheme="majorHAnsi"/>
        </w:rPr>
        <w:t>in 2003 using 2000 Census data.</w:t>
      </w:r>
      <w:r w:rsidR="00C0320D" w:rsidRPr="006127BB">
        <w:rPr>
          <w:rFonts w:asciiTheme="majorHAnsi" w:hAnsiTheme="majorHAnsi"/>
        </w:rPr>
        <w:t xml:space="preserve">   HUD recently released new </w:t>
      </w:r>
      <w:r w:rsidR="00B67EEA" w:rsidRPr="006127BB">
        <w:rPr>
          <w:rFonts w:asciiTheme="majorHAnsi" w:hAnsiTheme="majorHAnsi"/>
        </w:rPr>
        <w:t>data from the American Community Survey</w:t>
      </w:r>
      <w:r w:rsidR="00B360E0" w:rsidRPr="006127BB">
        <w:rPr>
          <w:rFonts w:asciiTheme="majorHAnsi" w:hAnsiTheme="majorHAnsi"/>
        </w:rPr>
        <w:t xml:space="preserve"> </w:t>
      </w:r>
      <w:r w:rsidR="00B67EEA" w:rsidRPr="006127BB">
        <w:rPr>
          <w:rFonts w:asciiTheme="majorHAnsi" w:hAnsiTheme="majorHAnsi"/>
        </w:rPr>
        <w:t>(</w:t>
      </w:r>
      <w:r w:rsidRPr="006127BB">
        <w:rPr>
          <w:rFonts w:asciiTheme="majorHAnsi" w:hAnsiTheme="majorHAnsi"/>
        </w:rPr>
        <w:t>2006-2010</w:t>
      </w:r>
      <w:r w:rsidR="00B67EEA" w:rsidRPr="006127BB">
        <w:rPr>
          <w:rFonts w:asciiTheme="majorHAnsi" w:hAnsiTheme="majorHAnsi"/>
        </w:rPr>
        <w:t xml:space="preserve">).   We </w:t>
      </w:r>
      <w:r w:rsidRPr="006127BB">
        <w:rPr>
          <w:rFonts w:asciiTheme="majorHAnsi" w:hAnsiTheme="majorHAnsi"/>
        </w:rPr>
        <w:t>update</w:t>
      </w:r>
      <w:r w:rsidR="00B67EEA" w:rsidRPr="006127BB">
        <w:rPr>
          <w:rFonts w:asciiTheme="majorHAnsi" w:hAnsiTheme="majorHAnsi"/>
        </w:rPr>
        <w:t>d</w:t>
      </w:r>
      <w:r w:rsidRPr="006127BB">
        <w:rPr>
          <w:rFonts w:asciiTheme="majorHAnsi" w:hAnsiTheme="majorHAnsi"/>
        </w:rPr>
        <w:t xml:space="preserve"> the map</w:t>
      </w:r>
      <w:r w:rsidR="00B67EEA" w:rsidRPr="006127BB">
        <w:rPr>
          <w:rFonts w:asciiTheme="majorHAnsi" w:hAnsiTheme="majorHAnsi"/>
        </w:rPr>
        <w:t xml:space="preserve"> using the new data</w:t>
      </w:r>
      <w:r w:rsidR="003623A2" w:rsidRPr="006127BB">
        <w:rPr>
          <w:rFonts w:asciiTheme="majorHAnsi" w:hAnsiTheme="majorHAnsi"/>
        </w:rPr>
        <w:t xml:space="preserve"> to </w:t>
      </w:r>
      <w:r w:rsidR="00B67EEA" w:rsidRPr="006127BB">
        <w:rPr>
          <w:rFonts w:asciiTheme="majorHAnsi" w:hAnsiTheme="majorHAnsi"/>
        </w:rPr>
        <w:t>determin</w:t>
      </w:r>
      <w:r w:rsidR="003623A2" w:rsidRPr="006127BB">
        <w:rPr>
          <w:rFonts w:asciiTheme="majorHAnsi" w:hAnsiTheme="majorHAnsi"/>
        </w:rPr>
        <w:t>e</w:t>
      </w:r>
      <w:r w:rsidR="00B67EEA" w:rsidRPr="006127BB">
        <w:rPr>
          <w:rFonts w:asciiTheme="majorHAnsi" w:hAnsiTheme="majorHAnsi"/>
        </w:rPr>
        <w:t xml:space="preserve"> which areas would be targeted for area-wide activities. </w:t>
      </w:r>
      <w:r w:rsidR="003623A2" w:rsidRPr="006127BB">
        <w:rPr>
          <w:rFonts w:asciiTheme="majorHAnsi" w:hAnsiTheme="majorHAnsi"/>
        </w:rPr>
        <w:t xml:space="preserve">The City’s policy has been to use a </w:t>
      </w:r>
      <w:r w:rsidR="00B67EEA" w:rsidRPr="006127BB">
        <w:rPr>
          <w:rFonts w:asciiTheme="majorHAnsi" w:hAnsiTheme="majorHAnsi"/>
        </w:rPr>
        <w:t xml:space="preserve">two-part test in which a block group </w:t>
      </w:r>
      <w:r w:rsidR="001D4892" w:rsidRPr="006127BB">
        <w:rPr>
          <w:rFonts w:asciiTheme="majorHAnsi" w:hAnsiTheme="majorHAnsi"/>
        </w:rPr>
        <w:t xml:space="preserve">must have </w:t>
      </w:r>
      <w:r w:rsidRPr="006127BB">
        <w:rPr>
          <w:rFonts w:asciiTheme="majorHAnsi" w:hAnsiTheme="majorHAnsi"/>
        </w:rPr>
        <w:t xml:space="preserve">both a population of at least 51% low-moderate income residents </w:t>
      </w:r>
      <w:r w:rsidRPr="006127BB">
        <w:rPr>
          <w:rFonts w:asciiTheme="majorHAnsi" w:hAnsiTheme="majorHAnsi"/>
          <w:i/>
        </w:rPr>
        <w:t xml:space="preserve">and </w:t>
      </w:r>
      <w:r w:rsidRPr="006127BB">
        <w:rPr>
          <w:rFonts w:asciiTheme="majorHAnsi" w:hAnsiTheme="majorHAnsi"/>
        </w:rPr>
        <w:t xml:space="preserve">be located in a Census Tract that had a low-moderate income population of at least 51%. </w:t>
      </w:r>
      <w:r w:rsidR="00B67EEA" w:rsidRPr="006127BB">
        <w:rPr>
          <w:rFonts w:asciiTheme="majorHAnsi" w:hAnsiTheme="majorHAnsi"/>
        </w:rPr>
        <w:t xml:space="preserve">  In the HCD office, we call this the “Census Tract Rule”.</w:t>
      </w:r>
    </w:p>
    <w:p w:rsidR="00F8088F" w:rsidRPr="006127BB" w:rsidRDefault="00F8088F" w:rsidP="00F8088F">
      <w:pPr>
        <w:ind w:right="-360"/>
        <w:rPr>
          <w:rFonts w:asciiTheme="majorHAnsi" w:hAnsiTheme="majorHAnsi"/>
        </w:rPr>
      </w:pPr>
    </w:p>
    <w:p w:rsidR="00F8088F" w:rsidRPr="006127BB" w:rsidRDefault="00B67EEA" w:rsidP="00F8088F">
      <w:pPr>
        <w:ind w:right="-360"/>
        <w:rPr>
          <w:rFonts w:asciiTheme="majorHAnsi" w:hAnsiTheme="majorHAnsi"/>
        </w:rPr>
      </w:pPr>
      <w:r w:rsidRPr="006127BB">
        <w:rPr>
          <w:rFonts w:asciiTheme="majorHAnsi" w:hAnsiTheme="majorHAnsi"/>
        </w:rPr>
        <w:t xml:space="preserve">Our recommendation is to continue with the Census Tract Rule which </w:t>
      </w:r>
      <w:r w:rsidR="007164BD" w:rsidRPr="006127BB">
        <w:rPr>
          <w:rFonts w:asciiTheme="majorHAnsi" w:hAnsiTheme="majorHAnsi"/>
        </w:rPr>
        <w:t xml:space="preserve">will </w:t>
      </w:r>
      <w:r w:rsidRPr="006127BB">
        <w:rPr>
          <w:rFonts w:asciiTheme="majorHAnsi" w:hAnsiTheme="majorHAnsi"/>
        </w:rPr>
        <w:t xml:space="preserve">create CDBG targeted areas  </w:t>
      </w:r>
      <w:r w:rsidR="007164BD" w:rsidRPr="006127BB">
        <w:rPr>
          <w:rFonts w:asciiTheme="majorHAnsi" w:hAnsiTheme="majorHAnsi"/>
        </w:rPr>
        <w:t xml:space="preserve">and </w:t>
      </w:r>
      <w:r w:rsidRPr="006127BB">
        <w:rPr>
          <w:rFonts w:asciiTheme="majorHAnsi" w:hAnsiTheme="majorHAnsi"/>
        </w:rPr>
        <w:t xml:space="preserve">encourage projects or activities </w:t>
      </w:r>
      <w:r w:rsidR="007164BD" w:rsidRPr="006127BB">
        <w:rPr>
          <w:rFonts w:asciiTheme="majorHAnsi" w:hAnsiTheme="majorHAnsi"/>
        </w:rPr>
        <w:t xml:space="preserve">in </w:t>
      </w:r>
      <w:r w:rsidRPr="006127BB">
        <w:rPr>
          <w:rFonts w:asciiTheme="majorHAnsi" w:hAnsiTheme="majorHAnsi"/>
        </w:rPr>
        <w:t xml:space="preserve">areas </w:t>
      </w:r>
      <w:r w:rsidR="007164BD" w:rsidRPr="006127BB">
        <w:rPr>
          <w:rFonts w:asciiTheme="majorHAnsi" w:hAnsiTheme="majorHAnsi"/>
        </w:rPr>
        <w:t xml:space="preserve">that </w:t>
      </w:r>
      <w:r w:rsidRPr="006127BB">
        <w:rPr>
          <w:rFonts w:asciiTheme="majorHAnsi" w:hAnsiTheme="majorHAnsi"/>
        </w:rPr>
        <w:t xml:space="preserve">have </w:t>
      </w:r>
      <w:r w:rsidR="007164BD" w:rsidRPr="006127BB">
        <w:rPr>
          <w:rFonts w:asciiTheme="majorHAnsi" w:hAnsiTheme="majorHAnsi"/>
        </w:rPr>
        <w:t xml:space="preserve">a </w:t>
      </w:r>
      <w:r w:rsidR="00F8088F" w:rsidRPr="006127BB">
        <w:rPr>
          <w:rFonts w:asciiTheme="majorHAnsi" w:hAnsiTheme="majorHAnsi"/>
        </w:rPr>
        <w:t xml:space="preserve">higher </w:t>
      </w:r>
      <w:r w:rsidR="007164BD" w:rsidRPr="006127BB">
        <w:rPr>
          <w:rFonts w:asciiTheme="majorHAnsi" w:hAnsiTheme="majorHAnsi"/>
        </w:rPr>
        <w:t xml:space="preserve">percentage </w:t>
      </w:r>
      <w:r w:rsidR="00F8088F" w:rsidRPr="006127BB">
        <w:rPr>
          <w:rFonts w:asciiTheme="majorHAnsi" w:hAnsiTheme="majorHAnsi"/>
        </w:rPr>
        <w:t xml:space="preserve">of low-moderate income residents, based on both Tract and block group </w:t>
      </w:r>
      <w:r w:rsidRPr="006127BB">
        <w:rPr>
          <w:rFonts w:asciiTheme="majorHAnsi" w:hAnsiTheme="majorHAnsi"/>
        </w:rPr>
        <w:t>data</w:t>
      </w:r>
      <w:r w:rsidR="00F8088F" w:rsidRPr="006127BB">
        <w:rPr>
          <w:rFonts w:asciiTheme="majorHAnsi" w:hAnsiTheme="majorHAnsi"/>
        </w:rPr>
        <w:t xml:space="preserve">. </w:t>
      </w:r>
    </w:p>
    <w:p w:rsidR="00F8088F" w:rsidRPr="006127BB" w:rsidRDefault="00F8088F" w:rsidP="00F8088F">
      <w:pPr>
        <w:ind w:right="-360"/>
        <w:rPr>
          <w:rFonts w:asciiTheme="majorHAnsi" w:hAnsiTheme="majorHAnsi"/>
        </w:rPr>
      </w:pPr>
    </w:p>
    <w:p w:rsidR="006127BB" w:rsidRPr="006127BB" w:rsidRDefault="00F8088F" w:rsidP="00F8088F">
      <w:pPr>
        <w:ind w:right="-360"/>
        <w:rPr>
          <w:rFonts w:asciiTheme="majorHAnsi" w:hAnsiTheme="majorHAnsi"/>
          <w:b/>
        </w:rPr>
      </w:pPr>
      <w:proofErr w:type="gramStart"/>
      <w:r w:rsidRPr="006127BB">
        <w:rPr>
          <w:rFonts w:asciiTheme="majorHAnsi" w:hAnsiTheme="majorHAnsi"/>
          <w:b/>
        </w:rPr>
        <w:t>Applying the Census Tract Rule to 2014</w:t>
      </w:r>
      <w:r w:rsidR="00562142" w:rsidRPr="006127BB">
        <w:rPr>
          <w:rFonts w:asciiTheme="majorHAnsi" w:hAnsiTheme="majorHAnsi"/>
          <w:b/>
        </w:rPr>
        <w:t>.</w:t>
      </w:r>
      <w:proofErr w:type="gramEnd"/>
      <w:r w:rsidR="00562142" w:rsidRPr="006127BB">
        <w:rPr>
          <w:rFonts w:asciiTheme="majorHAnsi" w:hAnsiTheme="majorHAnsi"/>
          <w:b/>
        </w:rPr>
        <w:t xml:space="preserve"> </w:t>
      </w:r>
    </w:p>
    <w:p w:rsidR="006127BB" w:rsidRPr="006127BB" w:rsidRDefault="006127BB" w:rsidP="00F8088F">
      <w:pPr>
        <w:ind w:right="-360"/>
        <w:rPr>
          <w:rFonts w:asciiTheme="majorHAnsi" w:hAnsiTheme="majorHAnsi"/>
          <w:b/>
        </w:rPr>
      </w:pPr>
    </w:p>
    <w:p w:rsidR="001C5E1C" w:rsidRPr="006127BB" w:rsidRDefault="001D4892" w:rsidP="00F8088F">
      <w:pPr>
        <w:ind w:right="-360"/>
        <w:rPr>
          <w:rFonts w:asciiTheme="majorHAnsi" w:hAnsiTheme="majorHAnsi"/>
        </w:rPr>
      </w:pPr>
      <w:r w:rsidRPr="006127BB">
        <w:rPr>
          <w:rFonts w:asciiTheme="majorHAnsi" w:hAnsiTheme="majorHAnsi"/>
          <w:i/>
        </w:rPr>
        <w:t xml:space="preserve">Using the </w:t>
      </w:r>
      <w:r w:rsidR="00F8088F" w:rsidRPr="006127BB">
        <w:rPr>
          <w:rFonts w:asciiTheme="majorHAnsi" w:hAnsiTheme="majorHAnsi"/>
          <w:i/>
        </w:rPr>
        <w:t>Census Tract Rule</w:t>
      </w:r>
      <w:r w:rsidR="001C5E1C" w:rsidRPr="006127BB">
        <w:rPr>
          <w:rFonts w:asciiTheme="majorHAnsi" w:hAnsiTheme="majorHAnsi"/>
          <w:i/>
        </w:rPr>
        <w:t xml:space="preserve"> policy</w:t>
      </w:r>
      <w:r w:rsidRPr="006127BB">
        <w:rPr>
          <w:rFonts w:asciiTheme="majorHAnsi" w:hAnsiTheme="majorHAnsi"/>
          <w:i/>
        </w:rPr>
        <w:t xml:space="preserve"> </w:t>
      </w:r>
      <w:r w:rsidR="001C5E1C" w:rsidRPr="006127BB">
        <w:rPr>
          <w:rFonts w:asciiTheme="majorHAnsi" w:hAnsiTheme="majorHAnsi"/>
          <w:i/>
        </w:rPr>
        <w:t>would mean that the following block groups would no longer fall within the targeted area:</w:t>
      </w:r>
      <w:r w:rsidR="001C5E1C" w:rsidRPr="006127BB">
        <w:rPr>
          <w:rFonts w:asciiTheme="majorHAnsi" w:hAnsiTheme="majorHAnsi"/>
        </w:rPr>
        <w:t xml:space="preserve">  </w:t>
      </w:r>
    </w:p>
    <w:p w:rsidR="006127BB" w:rsidRPr="006127BB" w:rsidRDefault="006127BB" w:rsidP="00F8088F">
      <w:pPr>
        <w:ind w:right="-360"/>
        <w:rPr>
          <w:rFonts w:asciiTheme="majorHAnsi" w:hAnsiTheme="majorHAnsi"/>
        </w:rPr>
      </w:pPr>
    </w:p>
    <w:p w:rsidR="00562142" w:rsidRPr="006127BB" w:rsidRDefault="00562142" w:rsidP="00F8088F">
      <w:pPr>
        <w:ind w:right="-360"/>
        <w:rPr>
          <w:rFonts w:asciiTheme="majorHAnsi" w:hAnsiTheme="majorHAnsi"/>
        </w:rPr>
      </w:pPr>
    </w:p>
    <w:p w:rsidR="00562142" w:rsidRPr="006127BB" w:rsidRDefault="001C5E1C" w:rsidP="006127BB">
      <w:pPr>
        <w:pStyle w:val="ListParagraph"/>
        <w:numPr>
          <w:ilvl w:val="0"/>
          <w:numId w:val="2"/>
        </w:numPr>
        <w:ind w:right="-360"/>
        <w:rPr>
          <w:rFonts w:asciiTheme="majorHAnsi" w:hAnsiTheme="majorHAnsi"/>
        </w:rPr>
      </w:pPr>
      <w:r w:rsidRPr="006127BB">
        <w:rPr>
          <w:rFonts w:asciiTheme="majorHAnsi" w:hAnsiTheme="majorHAnsi"/>
          <w:u w:val="single"/>
        </w:rPr>
        <w:t xml:space="preserve">Census Tract </w:t>
      </w:r>
      <w:r w:rsidR="00EC0A14" w:rsidRPr="006127BB">
        <w:rPr>
          <w:rFonts w:asciiTheme="majorHAnsi" w:hAnsiTheme="majorHAnsi"/>
          <w:u w:val="single"/>
        </w:rPr>
        <w:t>20.02, Block Group 1 (</w:t>
      </w:r>
      <w:proofErr w:type="spellStart"/>
      <w:r w:rsidR="00EC0A14" w:rsidRPr="006127BB">
        <w:rPr>
          <w:rFonts w:asciiTheme="majorHAnsi" w:hAnsiTheme="majorHAnsi"/>
          <w:u w:val="single"/>
        </w:rPr>
        <w:t>Libbytown</w:t>
      </w:r>
      <w:proofErr w:type="spellEnd"/>
      <w:r w:rsidR="00EC0A14" w:rsidRPr="006127BB">
        <w:rPr>
          <w:rFonts w:asciiTheme="majorHAnsi" w:hAnsiTheme="majorHAnsi"/>
          <w:u w:val="single"/>
        </w:rPr>
        <w:t xml:space="preserve"> as shown </w:t>
      </w:r>
      <w:r w:rsidR="006127BB">
        <w:rPr>
          <w:rFonts w:asciiTheme="majorHAnsi" w:hAnsiTheme="majorHAnsi"/>
          <w:u w:val="single"/>
        </w:rPr>
        <w:t xml:space="preserve">on </w:t>
      </w:r>
      <w:r w:rsidR="006127BB" w:rsidRPr="006127BB">
        <w:rPr>
          <w:rFonts w:asciiTheme="majorHAnsi" w:hAnsiTheme="majorHAnsi"/>
          <w:u w:val="single"/>
        </w:rPr>
        <w:t>the next page</w:t>
      </w:r>
      <w:r w:rsidR="00EC0A14" w:rsidRPr="006127BB">
        <w:rPr>
          <w:rFonts w:asciiTheme="majorHAnsi" w:hAnsiTheme="majorHAnsi"/>
          <w:u w:val="single"/>
        </w:rPr>
        <w:t>)</w:t>
      </w:r>
      <w:r w:rsidR="006127BB" w:rsidRPr="006127BB">
        <w:rPr>
          <w:rFonts w:asciiTheme="majorHAnsi" w:hAnsiTheme="majorHAnsi"/>
        </w:rPr>
        <w:t>:</w:t>
      </w:r>
    </w:p>
    <w:p w:rsidR="006127BB" w:rsidRDefault="006127BB" w:rsidP="00F8088F">
      <w:pPr>
        <w:ind w:right="-360"/>
      </w:pPr>
    </w:p>
    <w:p w:rsidR="006127BB" w:rsidRDefault="006127BB" w:rsidP="00F8088F">
      <w:pPr>
        <w:ind w:right="-360"/>
      </w:pPr>
    </w:p>
    <w:p w:rsidR="006127BB" w:rsidRDefault="006127BB" w:rsidP="00F8088F">
      <w:pPr>
        <w:ind w:right="-360"/>
      </w:pPr>
    </w:p>
    <w:p w:rsidR="006127BB" w:rsidRDefault="006127BB" w:rsidP="00F8088F">
      <w:pPr>
        <w:ind w:right="-360"/>
      </w:pPr>
    </w:p>
    <w:p w:rsidR="006127BB" w:rsidRDefault="006127BB" w:rsidP="00F8088F">
      <w:pPr>
        <w:ind w:right="-360"/>
      </w:pPr>
    </w:p>
    <w:p w:rsidR="006127BB" w:rsidRDefault="006127BB" w:rsidP="00F8088F">
      <w:pPr>
        <w:ind w:right="-360"/>
      </w:pPr>
    </w:p>
    <w:p w:rsidR="006127BB" w:rsidRDefault="006127BB" w:rsidP="00F8088F">
      <w:pPr>
        <w:ind w:right="-360"/>
      </w:pPr>
    </w:p>
    <w:p w:rsidR="006127BB" w:rsidRDefault="006127BB" w:rsidP="00F8088F">
      <w:pPr>
        <w:ind w:right="-360"/>
      </w:pPr>
    </w:p>
    <w:p w:rsidR="006127BB" w:rsidRDefault="006127BB" w:rsidP="00F8088F">
      <w:pPr>
        <w:ind w:right="-360"/>
        <w:rPr>
          <w:u w:val="single"/>
        </w:rPr>
      </w:pPr>
    </w:p>
    <w:p w:rsidR="00EC0A14" w:rsidRDefault="00562D5A" w:rsidP="00640A65">
      <w:pPr>
        <w:ind w:right="-360"/>
        <w:jc w:val="center"/>
      </w:pPr>
      <w:r>
        <w:rPr>
          <w:noProof/>
        </w:rPr>
        <w:drawing>
          <wp:inline distT="0" distB="0" distL="0" distR="0" wp14:anchorId="04217883" wp14:editId="1318EC05">
            <wp:extent cx="5189574"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bytown.JPG"/>
                    <pic:cNvPicPr/>
                  </pic:nvPicPr>
                  <pic:blipFill>
                    <a:blip r:embed="rId9">
                      <a:extLst>
                        <a:ext uri="{28A0092B-C50C-407E-A947-70E740481C1C}">
                          <a14:useLocalDpi xmlns:a14="http://schemas.microsoft.com/office/drawing/2010/main" val="0"/>
                        </a:ext>
                      </a:extLst>
                    </a:blip>
                    <a:stretch>
                      <a:fillRect/>
                    </a:stretch>
                  </pic:blipFill>
                  <pic:spPr>
                    <a:xfrm>
                      <a:off x="0" y="0"/>
                      <a:ext cx="5189574" cy="4114800"/>
                    </a:xfrm>
                    <a:prstGeom prst="rect">
                      <a:avLst/>
                    </a:prstGeom>
                  </pic:spPr>
                </pic:pic>
              </a:graphicData>
            </a:graphic>
          </wp:inline>
        </w:drawing>
      </w:r>
    </w:p>
    <w:p w:rsidR="001C5E1C" w:rsidRDefault="001C5E1C" w:rsidP="00EC0A14">
      <w:pPr>
        <w:ind w:right="-360"/>
        <w:jc w:val="center"/>
      </w:pPr>
    </w:p>
    <w:p w:rsidR="006127BB" w:rsidRDefault="006127BB" w:rsidP="00F8088F">
      <w:pPr>
        <w:ind w:right="-360"/>
      </w:pPr>
    </w:p>
    <w:p w:rsidR="006127BB" w:rsidRDefault="006127BB" w:rsidP="00F8088F">
      <w:pPr>
        <w:ind w:right="-360"/>
      </w:pPr>
    </w:p>
    <w:p w:rsidR="006127BB" w:rsidRPr="006127BB" w:rsidRDefault="006127BB" w:rsidP="00F8088F">
      <w:pPr>
        <w:ind w:right="-360"/>
        <w:rPr>
          <w:rFonts w:asciiTheme="majorHAnsi" w:hAnsiTheme="majorHAnsi"/>
        </w:rPr>
      </w:pPr>
    </w:p>
    <w:p w:rsidR="001730D2" w:rsidRPr="006127BB" w:rsidRDefault="001C5E1C" w:rsidP="006127BB">
      <w:pPr>
        <w:pStyle w:val="ListParagraph"/>
        <w:numPr>
          <w:ilvl w:val="0"/>
          <w:numId w:val="2"/>
        </w:numPr>
        <w:ind w:right="-360"/>
        <w:rPr>
          <w:rFonts w:asciiTheme="majorHAnsi" w:hAnsiTheme="majorHAnsi"/>
        </w:rPr>
      </w:pPr>
      <w:r w:rsidRPr="006127BB">
        <w:rPr>
          <w:rFonts w:asciiTheme="majorHAnsi" w:hAnsiTheme="majorHAnsi"/>
          <w:u w:val="single"/>
        </w:rPr>
        <w:t>Census Tract 2, Block Group 2 (</w:t>
      </w:r>
      <w:proofErr w:type="spellStart"/>
      <w:r w:rsidRPr="006127BB">
        <w:rPr>
          <w:rFonts w:asciiTheme="majorHAnsi" w:hAnsiTheme="majorHAnsi"/>
          <w:u w:val="single"/>
        </w:rPr>
        <w:t>Munjoy</w:t>
      </w:r>
      <w:proofErr w:type="spellEnd"/>
      <w:r w:rsidRPr="006127BB">
        <w:rPr>
          <w:rFonts w:asciiTheme="majorHAnsi" w:hAnsiTheme="majorHAnsi"/>
          <w:u w:val="single"/>
        </w:rPr>
        <w:t xml:space="preserve"> Hill)</w:t>
      </w:r>
      <w:r w:rsidR="00365BDC" w:rsidRPr="006127BB">
        <w:rPr>
          <w:rFonts w:asciiTheme="majorHAnsi" w:hAnsiTheme="majorHAnsi"/>
        </w:rPr>
        <w:t xml:space="preserve"> </w:t>
      </w:r>
      <w:r w:rsidR="00EC0A14" w:rsidRPr="006127BB">
        <w:rPr>
          <w:rFonts w:asciiTheme="majorHAnsi" w:hAnsiTheme="majorHAnsi"/>
        </w:rPr>
        <w:t>This area is bounded by Congress Street, Atlantic Street, Fore Street and Vesper Street.</w:t>
      </w:r>
    </w:p>
    <w:p w:rsidR="001730D2" w:rsidRDefault="001730D2" w:rsidP="00F8088F">
      <w:pPr>
        <w:ind w:right="-360"/>
      </w:pPr>
    </w:p>
    <w:p w:rsidR="006127BB" w:rsidRDefault="006127BB" w:rsidP="00F8088F">
      <w:pPr>
        <w:ind w:right="-360"/>
      </w:pPr>
    </w:p>
    <w:p w:rsidR="006127BB" w:rsidRDefault="006127BB" w:rsidP="00F8088F">
      <w:pPr>
        <w:ind w:right="-360"/>
      </w:pPr>
      <w:bookmarkStart w:id="0" w:name="_GoBack"/>
      <w:bookmarkEnd w:id="0"/>
    </w:p>
    <w:p w:rsidR="006127BB" w:rsidRDefault="006127BB" w:rsidP="00F8088F">
      <w:pPr>
        <w:ind w:right="-360"/>
      </w:pPr>
    </w:p>
    <w:p w:rsidR="006127BB" w:rsidRPr="001730D2" w:rsidRDefault="006127BB" w:rsidP="00F8088F">
      <w:pPr>
        <w:ind w:right="-360"/>
      </w:pPr>
    </w:p>
    <w:p w:rsidR="00F8088F" w:rsidRPr="006127BB" w:rsidRDefault="001C5E1C" w:rsidP="00F8088F">
      <w:pPr>
        <w:ind w:right="-360"/>
        <w:rPr>
          <w:rFonts w:asciiTheme="majorHAnsi" w:hAnsiTheme="majorHAnsi"/>
          <w:i/>
        </w:rPr>
      </w:pPr>
      <w:r w:rsidRPr="006127BB">
        <w:rPr>
          <w:rFonts w:asciiTheme="majorHAnsi" w:hAnsiTheme="majorHAnsi"/>
          <w:i/>
        </w:rPr>
        <w:lastRenderedPageBreak/>
        <w:t>S</w:t>
      </w:r>
      <w:r w:rsidR="00F8088F" w:rsidRPr="006127BB">
        <w:rPr>
          <w:rFonts w:asciiTheme="majorHAnsi" w:hAnsiTheme="majorHAnsi"/>
          <w:i/>
        </w:rPr>
        <w:t xml:space="preserve">everal block groups </w:t>
      </w:r>
      <w:r w:rsidRPr="006127BB">
        <w:rPr>
          <w:rFonts w:asciiTheme="majorHAnsi" w:hAnsiTheme="majorHAnsi"/>
          <w:i/>
        </w:rPr>
        <w:t xml:space="preserve">would be added to the CDBG targeted area:  </w:t>
      </w:r>
    </w:p>
    <w:p w:rsidR="001C5E1C" w:rsidRPr="006127BB" w:rsidRDefault="001C5E1C" w:rsidP="00F8088F">
      <w:pPr>
        <w:ind w:right="-360"/>
        <w:rPr>
          <w:rFonts w:asciiTheme="majorHAnsi" w:hAnsiTheme="majorHAnsi"/>
        </w:rPr>
      </w:pPr>
    </w:p>
    <w:p w:rsidR="00F8088F" w:rsidRPr="006127BB" w:rsidRDefault="00F8088F" w:rsidP="006127BB">
      <w:pPr>
        <w:pStyle w:val="ListParagraph"/>
        <w:numPr>
          <w:ilvl w:val="0"/>
          <w:numId w:val="3"/>
        </w:numPr>
        <w:spacing w:after="0"/>
        <w:ind w:right="-360"/>
        <w:rPr>
          <w:rFonts w:asciiTheme="majorHAnsi" w:hAnsiTheme="majorHAnsi"/>
        </w:rPr>
      </w:pPr>
      <w:r w:rsidRPr="006127BB">
        <w:rPr>
          <w:rFonts w:asciiTheme="majorHAnsi" w:hAnsiTheme="majorHAnsi"/>
          <w:u w:val="single"/>
        </w:rPr>
        <w:t>Census Tract 3, Block Group 2 (Downtown/Waterfront)</w:t>
      </w:r>
      <w:r w:rsidRPr="006127BB">
        <w:rPr>
          <w:rFonts w:asciiTheme="majorHAnsi" w:hAnsiTheme="majorHAnsi"/>
        </w:rPr>
        <w:t xml:space="preserve"> – This area is bounded by the waterfront to the south, Cumberland Ave to the north, Elm Street to the west, Franklin Street to the east and along the waterfront over to Atlantic Street. </w:t>
      </w:r>
      <w:r w:rsidR="001C5E1C" w:rsidRPr="006127BB">
        <w:rPr>
          <w:rFonts w:asciiTheme="majorHAnsi" w:hAnsiTheme="majorHAnsi"/>
        </w:rPr>
        <w:t xml:space="preserve">  </w:t>
      </w:r>
      <w:r w:rsidRPr="006127BB">
        <w:rPr>
          <w:rFonts w:asciiTheme="majorHAnsi" w:hAnsiTheme="majorHAnsi"/>
        </w:rPr>
        <w:t xml:space="preserve">However projects in this geography would need to ensure they were complying with the HUD regulation of benefitting a “primarily residential” area.  </w:t>
      </w:r>
      <w:r w:rsidRPr="006127BB">
        <w:rPr>
          <w:rFonts w:asciiTheme="majorHAnsi" w:hAnsiTheme="majorHAnsi"/>
          <w:i/>
        </w:rPr>
        <w:t xml:space="preserve"> </w:t>
      </w:r>
    </w:p>
    <w:p w:rsidR="00F8088F" w:rsidRPr="006127BB" w:rsidRDefault="00F8088F" w:rsidP="006127BB">
      <w:pPr>
        <w:ind w:right="-360"/>
        <w:rPr>
          <w:rFonts w:asciiTheme="majorHAnsi" w:hAnsiTheme="majorHAnsi"/>
        </w:rPr>
      </w:pPr>
    </w:p>
    <w:p w:rsidR="00F8088F" w:rsidRPr="006127BB" w:rsidRDefault="00F8088F" w:rsidP="006127BB">
      <w:pPr>
        <w:pStyle w:val="ListParagraph"/>
        <w:numPr>
          <w:ilvl w:val="0"/>
          <w:numId w:val="3"/>
        </w:numPr>
        <w:spacing w:after="0"/>
        <w:ind w:right="-360"/>
        <w:rPr>
          <w:rFonts w:asciiTheme="majorHAnsi" w:hAnsiTheme="majorHAnsi"/>
        </w:rPr>
      </w:pPr>
      <w:r w:rsidRPr="006127BB">
        <w:rPr>
          <w:rFonts w:asciiTheme="majorHAnsi" w:hAnsiTheme="majorHAnsi"/>
          <w:u w:val="single"/>
        </w:rPr>
        <w:t>Census Tract 15, Block 3 (Oakdale)</w:t>
      </w:r>
      <w:r w:rsidRPr="006127BB">
        <w:rPr>
          <w:rFonts w:asciiTheme="majorHAnsi" w:hAnsiTheme="majorHAnsi"/>
        </w:rPr>
        <w:t xml:space="preserve"> – This area is bounded by Brighton Ave, Falmouth Street, and Forest Avenue. </w:t>
      </w:r>
    </w:p>
    <w:p w:rsidR="00F8088F" w:rsidRPr="006127BB" w:rsidRDefault="00F8088F" w:rsidP="006127BB">
      <w:pPr>
        <w:ind w:right="-360"/>
        <w:rPr>
          <w:rFonts w:asciiTheme="majorHAnsi" w:hAnsiTheme="majorHAnsi"/>
          <w:b/>
        </w:rPr>
      </w:pPr>
    </w:p>
    <w:p w:rsidR="00F8088F" w:rsidRPr="006127BB" w:rsidRDefault="00F8088F" w:rsidP="006127BB">
      <w:pPr>
        <w:pStyle w:val="ListParagraph"/>
        <w:numPr>
          <w:ilvl w:val="0"/>
          <w:numId w:val="3"/>
        </w:numPr>
        <w:spacing w:after="0"/>
        <w:ind w:right="-360"/>
        <w:rPr>
          <w:rFonts w:asciiTheme="majorHAnsi" w:hAnsiTheme="majorHAnsi"/>
        </w:rPr>
      </w:pPr>
      <w:r w:rsidRPr="006127BB">
        <w:rPr>
          <w:rFonts w:asciiTheme="majorHAnsi" w:hAnsiTheme="majorHAnsi"/>
          <w:u w:val="single"/>
        </w:rPr>
        <w:t>Census Tract 1, Block Group 3 (East End School)</w:t>
      </w:r>
      <w:r w:rsidRPr="006127BB">
        <w:rPr>
          <w:rFonts w:asciiTheme="majorHAnsi" w:hAnsiTheme="majorHAnsi"/>
        </w:rPr>
        <w:t xml:space="preserve"> – This area abuts the Eastern Prom and includes the East End School. </w:t>
      </w:r>
    </w:p>
    <w:p w:rsidR="00F8088F" w:rsidRPr="006127BB" w:rsidRDefault="00F8088F" w:rsidP="006127BB">
      <w:pPr>
        <w:ind w:right="-360"/>
        <w:rPr>
          <w:rFonts w:asciiTheme="majorHAnsi" w:hAnsiTheme="majorHAnsi"/>
        </w:rPr>
      </w:pPr>
    </w:p>
    <w:p w:rsidR="00F8088F" w:rsidRPr="006127BB" w:rsidRDefault="00F8088F" w:rsidP="006127BB">
      <w:pPr>
        <w:pStyle w:val="ListParagraph"/>
        <w:numPr>
          <w:ilvl w:val="0"/>
          <w:numId w:val="3"/>
        </w:numPr>
        <w:spacing w:after="0"/>
        <w:ind w:right="-360"/>
        <w:rPr>
          <w:rFonts w:asciiTheme="majorHAnsi" w:hAnsiTheme="majorHAnsi"/>
        </w:rPr>
      </w:pPr>
      <w:r w:rsidRPr="006127BB">
        <w:rPr>
          <w:rFonts w:asciiTheme="majorHAnsi" w:hAnsiTheme="majorHAnsi"/>
          <w:u w:val="single"/>
        </w:rPr>
        <w:t>Census Tract 2, Block Group 1 (Eastern Promenade)</w:t>
      </w:r>
      <w:r w:rsidRPr="006127BB">
        <w:rPr>
          <w:rFonts w:asciiTheme="majorHAnsi" w:hAnsiTheme="majorHAnsi"/>
        </w:rPr>
        <w:t xml:space="preserve"> – This area also abuts the Eastern Prom. </w:t>
      </w:r>
    </w:p>
    <w:p w:rsidR="00F8088F" w:rsidRPr="006127BB" w:rsidRDefault="00F8088F" w:rsidP="006127BB">
      <w:pPr>
        <w:ind w:right="-360"/>
        <w:rPr>
          <w:rFonts w:asciiTheme="majorHAnsi" w:hAnsiTheme="majorHAnsi"/>
        </w:rPr>
      </w:pPr>
    </w:p>
    <w:p w:rsidR="00F8088F" w:rsidRPr="006127BB" w:rsidRDefault="00F8088F" w:rsidP="006127BB">
      <w:pPr>
        <w:pStyle w:val="ListParagraph"/>
        <w:numPr>
          <w:ilvl w:val="0"/>
          <w:numId w:val="3"/>
        </w:numPr>
        <w:spacing w:after="0"/>
        <w:ind w:right="-360"/>
        <w:rPr>
          <w:rFonts w:asciiTheme="majorHAnsi" w:hAnsiTheme="majorHAnsi"/>
        </w:rPr>
      </w:pPr>
      <w:r w:rsidRPr="006127BB">
        <w:rPr>
          <w:rFonts w:asciiTheme="majorHAnsi" w:hAnsiTheme="majorHAnsi"/>
          <w:u w:val="single"/>
        </w:rPr>
        <w:t>Census Tract 11, Block Group 3 (West End)</w:t>
      </w:r>
      <w:r w:rsidRPr="006127BB">
        <w:rPr>
          <w:rFonts w:asciiTheme="majorHAnsi" w:hAnsiTheme="majorHAnsi"/>
        </w:rPr>
        <w:t xml:space="preserve">  - This is the area between State and High Streets in the West End, bounded by Spring Street to the north and Commercial Street to the South.</w:t>
      </w:r>
      <w:r w:rsidR="001C5E1C" w:rsidRPr="006127BB">
        <w:rPr>
          <w:rFonts w:asciiTheme="majorHAnsi" w:hAnsiTheme="majorHAnsi"/>
        </w:rPr>
        <w:t xml:space="preserve"> </w:t>
      </w:r>
    </w:p>
    <w:p w:rsidR="001C5E1C" w:rsidRPr="006127BB" w:rsidRDefault="001C5E1C" w:rsidP="00F8088F">
      <w:pPr>
        <w:ind w:right="-360"/>
        <w:rPr>
          <w:rFonts w:asciiTheme="majorHAnsi" w:hAnsiTheme="majorHAnsi"/>
        </w:rPr>
      </w:pPr>
    </w:p>
    <w:p w:rsidR="00F8088F" w:rsidRPr="006127BB" w:rsidRDefault="00DC20F9" w:rsidP="00F8088F">
      <w:pPr>
        <w:ind w:right="-360"/>
        <w:rPr>
          <w:rFonts w:asciiTheme="majorHAnsi" w:hAnsiTheme="majorHAnsi"/>
        </w:rPr>
      </w:pPr>
      <w:r w:rsidRPr="006127BB">
        <w:rPr>
          <w:rFonts w:asciiTheme="majorHAnsi" w:hAnsiTheme="majorHAnsi"/>
          <w:b/>
        </w:rPr>
        <w:t>Targeted Areas</w:t>
      </w:r>
      <w:r w:rsidR="00562142" w:rsidRPr="006127BB">
        <w:rPr>
          <w:rFonts w:asciiTheme="majorHAnsi" w:hAnsiTheme="majorHAnsi"/>
          <w:b/>
        </w:rPr>
        <w:t xml:space="preserve">.  </w:t>
      </w:r>
      <w:r w:rsidR="00ED11FE" w:rsidRPr="006127BB">
        <w:rPr>
          <w:rFonts w:asciiTheme="majorHAnsi" w:hAnsiTheme="majorHAnsi"/>
        </w:rPr>
        <w:t>T</w:t>
      </w:r>
      <w:r w:rsidR="00F8088F" w:rsidRPr="006127BB">
        <w:rPr>
          <w:rFonts w:asciiTheme="majorHAnsi" w:hAnsiTheme="majorHAnsi"/>
        </w:rPr>
        <w:t xml:space="preserve">hese boundaries are meant to reference </w:t>
      </w:r>
      <w:r w:rsidR="00ED11FE" w:rsidRPr="006127BB">
        <w:rPr>
          <w:rFonts w:asciiTheme="majorHAnsi" w:hAnsiTheme="majorHAnsi"/>
        </w:rPr>
        <w:t>targeted areas</w:t>
      </w:r>
      <w:r w:rsidR="00562D5A" w:rsidRPr="006127BB">
        <w:rPr>
          <w:rFonts w:asciiTheme="majorHAnsi" w:hAnsiTheme="majorHAnsi"/>
        </w:rPr>
        <w:t xml:space="preserve"> but do not guarantee a project’s eligibility</w:t>
      </w:r>
      <w:r w:rsidR="00ED11FE" w:rsidRPr="006127BB">
        <w:rPr>
          <w:rFonts w:asciiTheme="majorHAnsi" w:hAnsiTheme="majorHAnsi"/>
        </w:rPr>
        <w:t xml:space="preserve">.  </w:t>
      </w:r>
      <w:r w:rsidR="00562D5A" w:rsidRPr="006127BB">
        <w:rPr>
          <w:rFonts w:asciiTheme="majorHAnsi" w:hAnsiTheme="majorHAnsi"/>
        </w:rPr>
        <w:t>In addition, t</w:t>
      </w:r>
      <w:r w:rsidR="00ED11FE" w:rsidRPr="006127BB">
        <w:rPr>
          <w:rFonts w:asciiTheme="majorHAnsi" w:hAnsiTheme="majorHAnsi"/>
        </w:rPr>
        <w:t>here may be areas of the City</w:t>
      </w:r>
      <w:r w:rsidR="00562142" w:rsidRPr="006127BB">
        <w:rPr>
          <w:rFonts w:asciiTheme="majorHAnsi" w:hAnsiTheme="majorHAnsi"/>
        </w:rPr>
        <w:t>, outside of these targeted areas, in</w:t>
      </w:r>
      <w:r w:rsidR="00ED11FE" w:rsidRPr="006127BB">
        <w:rPr>
          <w:rFonts w:asciiTheme="majorHAnsi" w:hAnsiTheme="majorHAnsi"/>
        </w:rPr>
        <w:t xml:space="preserve"> which an area wide project or activity may be eligible for funding.   </w:t>
      </w:r>
    </w:p>
    <w:p w:rsidR="00E740BF" w:rsidRPr="006127BB" w:rsidRDefault="00E740BF" w:rsidP="00C448CA">
      <w:pPr>
        <w:rPr>
          <w:rFonts w:asciiTheme="majorHAnsi" w:hAnsiTheme="majorHAnsi"/>
        </w:rPr>
      </w:pPr>
    </w:p>
    <w:p w:rsidR="00ED11FE" w:rsidRPr="006127BB" w:rsidRDefault="00ED11FE" w:rsidP="00C448CA">
      <w:pPr>
        <w:rPr>
          <w:rFonts w:asciiTheme="majorHAnsi" w:hAnsiTheme="majorHAnsi"/>
        </w:rPr>
      </w:pPr>
      <w:r w:rsidRPr="006127BB">
        <w:rPr>
          <w:rFonts w:asciiTheme="majorHAnsi" w:hAnsiTheme="majorHAnsi"/>
        </w:rPr>
        <w:t xml:space="preserve">I would like to acknowledge the work of Maeve </w:t>
      </w:r>
      <w:proofErr w:type="spellStart"/>
      <w:r w:rsidRPr="006127BB">
        <w:rPr>
          <w:rFonts w:asciiTheme="majorHAnsi" w:hAnsiTheme="majorHAnsi"/>
        </w:rPr>
        <w:t>Pistrang</w:t>
      </w:r>
      <w:proofErr w:type="spellEnd"/>
      <w:r w:rsidRPr="006127BB">
        <w:rPr>
          <w:rFonts w:asciiTheme="majorHAnsi" w:hAnsiTheme="majorHAnsi"/>
        </w:rPr>
        <w:t>, former staff person who work</w:t>
      </w:r>
      <w:r w:rsidR="00562D5A" w:rsidRPr="006127BB">
        <w:rPr>
          <w:rFonts w:asciiTheme="majorHAnsi" w:hAnsiTheme="majorHAnsi"/>
        </w:rPr>
        <w:t>ed</w:t>
      </w:r>
      <w:r w:rsidRPr="006127BB">
        <w:rPr>
          <w:rFonts w:asciiTheme="majorHAnsi" w:hAnsiTheme="majorHAnsi"/>
        </w:rPr>
        <w:t xml:space="preserve"> with our office on this mapping effort along with Jessica Gooch from Public S</w:t>
      </w:r>
      <w:r w:rsidR="00562D5A" w:rsidRPr="006127BB">
        <w:rPr>
          <w:rFonts w:asciiTheme="majorHAnsi" w:hAnsiTheme="majorHAnsi"/>
        </w:rPr>
        <w:t>e</w:t>
      </w:r>
      <w:r w:rsidRPr="006127BB">
        <w:rPr>
          <w:rFonts w:asciiTheme="majorHAnsi" w:hAnsiTheme="majorHAnsi"/>
        </w:rPr>
        <w:t>rvices</w:t>
      </w:r>
      <w:r w:rsidR="00562D5A" w:rsidRPr="006127BB">
        <w:rPr>
          <w:rFonts w:asciiTheme="majorHAnsi" w:hAnsiTheme="majorHAnsi"/>
        </w:rPr>
        <w:t>.</w:t>
      </w:r>
      <w:r w:rsidRPr="006127BB">
        <w:rPr>
          <w:rFonts w:asciiTheme="majorHAnsi" w:hAnsiTheme="majorHAnsi"/>
        </w:rPr>
        <w:t xml:space="preserve">  </w:t>
      </w:r>
    </w:p>
    <w:p w:rsidR="00562142" w:rsidRPr="006127BB" w:rsidRDefault="00562142" w:rsidP="00C448CA">
      <w:pPr>
        <w:rPr>
          <w:rFonts w:asciiTheme="majorHAnsi" w:hAnsiTheme="majorHAnsi"/>
        </w:rPr>
      </w:pPr>
    </w:p>
    <w:p w:rsidR="00DC20F9" w:rsidRPr="006127BB" w:rsidRDefault="00DC20F9" w:rsidP="00C448CA">
      <w:pPr>
        <w:rPr>
          <w:rFonts w:asciiTheme="majorHAnsi" w:hAnsiTheme="majorHAnsi"/>
        </w:rPr>
      </w:pPr>
      <w:r w:rsidRPr="006127BB">
        <w:rPr>
          <w:rFonts w:asciiTheme="majorHAnsi" w:hAnsiTheme="majorHAnsi"/>
        </w:rPr>
        <w:t>Please let me know if you would like to discuss the data and the new CDBG Targeted Area Map.   The map will become part of our FY 2015-2020 HUD 5-Year Consolidated Plan which will be submitted to Council for approval at their May 4</w:t>
      </w:r>
      <w:r w:rsidRPr="006127BB">
        <w:rPr>
          <w:rFonts w:asciiTheme="majorHAnsi" w:hAnsiTheme="majorHAnsi"/>
          <w:vertAlign w:val="superscript"/>
        </w:rPr>
        <w:t xml:space="preserve">th </w:t>
      </w:r>
      <w:r w:rsidRPr="006127BB">
        <w:rPr>
          <w:rFonts w:asciiTheme="majorHAnsi" w:hAnsiTheme="majorHAnsi"/>
        </w:rPr>
        <w:t>meeting.</w:t>
      </w:r>
    </w:p>
    <w:sectPr w:rsidR="00DC20F9" w:rsidRPr="006127BB" w:rsidSect="00957D4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936"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FF" w:rsidRDefault="00AD01FF" w:rsidP="00957D46">
      <w:r>
        <w:separator/>
      </w:r>
    </w:p>
  </w:endnote>
  <w:endnote w:type="continuationSeparator" w:id="0">
    <w:p w:rsidR="00AD01FF" w:rsidRDefault="00AD01FF" w:rsidP="0095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6127BB">
    <w:pPr>
      <w:pStyle w:val="Footer"/>
    </w:pPr>
    <w:sdt>
      <w:sdtPr>
        <w:id w:val="969400743"/>
        <w:temporary/>
        <w:showingPlcHdr/>
      </w:sdtPr>
      <w:sdtEndPr/>
      <w:sdtContent>
        <w:r w:rsidR="000F6351">
          <w:t>[Type text]</w:t>
        </w:r>
      </w:sdtContent>
    </w:sdt>
    <w:r w:rsidR="000F6351">
      <w:ptab w:relativeTo="margin" w:alignment="center" w:leader="none"/>
    </w:r>
    <w:sdt>
      <w:sdtPr>
        <w:id w:val="969400748"/>
        <w:temporary/>
        <w:showingPlcHdr/>
      </w:sdtPr>
      <w:sdtEndPr/>
      <w:sdtContent>
        <w:r w:rsidR="000F6351">
          <w:t>[Type text]</w:t>
        </w:r>
      </w:sdtContent>
    </w:sdt>
    <w:r w:rsidR="000F6351">
      <w:ptab w:relativeTo="margin" w:alignment="right" w:leader="none"/>
    </w:r>
    <w:sdt>
      <w:sdtPr>
        <w:id w:val="969400753"/>
        <w:temporary/>
        <w:showingPlcHdr/>
      </w:sdtPr>
      <w:sdtEndPr/>
      <w:sdtContent>
        <w:r w:rsidR="000F635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0F6351" w:rsidP="00957D46">
    <w:pPr>
      <w:pStyle w:val="Footer"/>
      <w:ind w:left="270"/>
    </w:pPr>
  </w:p>
  <w:p w:rsidR="000F6351" w:rsidRDefault="00155133" w:rsidP="00396F4F">
    <w:pPr>
      <w:pStyle w:val="Footer"/>
      <w:ind w:left="270"/>
    </w:pPr>
    <w:r>
      <w:rPr>
        <w:noProof/>
      </w:rPr>
      <w:drawing>
        <wp:inline distT="0" distB="0" distL="0" distR="0" wp14:anchorId="71C41E14" wp14:editId="0BC2D549">
          <wp:extent cx="5095399" cy="19957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5095399" cy="19957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33" w:rsidRDefault="00155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FF" w:rsidRDefault="00AD01FF" w:rsidP="00957D46">
      <w:r>
        <w:separator/>
      </w:r>
    </w:p>
  </w:footnote>
  <w:footnote w:type="continuationSeparator" w:id="0">
    <w:p w:rsidR="00AD01FF" w:rsidRDefault="00AD01FF" w:rsidP="0095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6127BB">
    <w:pPr>
      <w:pStyle w:val="Header"/>
    </w:pPr>
    <w:sdt>
      <w:sdtPr>
        <w:id w:val="171999623"/>
        <w:temporary/>
        <w:showingPlcHdr/>
      </w:sdtPr>
      <w:sdtEndPr/>
      <w:sdtContent>
        <w:r w:rsidR="000F6351">
          <w:t>[Type text]</w:t>
        </w:r>
      </w:sdtContent>
    </w:sdt>
    <w:r w:rsidR="000F6351">
      <w:ptab w:relativeTo="margin" w:alignment="center" w:leader="none"/>
    </w:r>
    <w:sdt>
      <w:sdtPr>
        <w:id w:val="171999624"/>
        <w:temporary/>
        <w:showingPlcHdr/>
      </w:sdtPr>
      <w:sdtEndPr/>
      <w:sdtContent>
        <w:r w:rsidR="000F6351">
          <w:t>[Type text]</w:t>
        </w:r>
      </w:sdtContent>
    </w:sdt>
    <w:r w:rsidR="000F6351">
      <w:ptab w:relativeTo="margin" w:alignment="right" w:leader="none"/>
    </w:r>
    <w:sdt>
      <w:sdtPr>
        <w:id w:val="171999625"/>
        <w:temporary/>
        <w:showingPlcHdr/>
      </w:sdtPr>
      <w:sdtEndPr/>
      <w:sdtContent>
        <w:r w:rsidR="000F6351">
          <w:t>[Type text]</w:t>
        </w:r>
      </w:sdtContent>
    </w:sdt>
  </w:p>
  <w:p w:rsidR="000F6351" w:rsidRDefault="000F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3A5AC8" w:rsidP="00E740BF">
    <w:pPr>
      <w:pStyle w:val="Header"/>
      <w:tabs>
        <w:tab w:val="clear" w:pos="8640"/>
        <w:tab w:val="left" w:pos="-900"/>
        <w:tab w:val="left" w:pos="0"/>
        <w:tab w:val="right" w:pos="8550"/>
      </w:tabs>
      <w:ind w:right="90"/>
    </w:pPr>
    <w:r>
      <w:rPr>
        <w:noProof/>
      </w:rPr>
      <w:drawing>
        <wp:inline distT="0" distB="0" distL="0" distR="0">
          <wp:extent cx="54864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42975"/>
                  </a:xfrm>
                  <a:prstGeom prst="rect">
                    <a:avLst/>
                  </a:prstGeom>
                </pic:spPr>
              </pic:pic>
            </a:graphicData>
          </a:graphic>
        </wp:inline>
      </w:drawing>
    </w:r>
  </w:p>
  <w:p w:rsidR="000F6351" w:rsidRDefault="000F6351" w:rsidP="00957D46">
    <w:pPr>
      <w:pStyle w:val="Header"/>
      <w:tabs>
        <w:tab w:val="left" w:pos="-900"/>
      </w:tabs>
      <w:ind w:left="-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33" w:rsidRDefault="00155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B14"/>
    <w:multiLevelType w:val="hybridMultilevel"/>
    <w:tmpl w:val="3014DBD8"/>
    <w:lvl w:ilvl="0" w:tplc="AB4E3AA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D4F2E"/>
    <w:multiLevelType w:val="hybridMultilevel"/>
    <w:tmpl w:val="DA22CBF0"/>
    <w:lvl w:ilvl="0" w:tplc="6BA4DA3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22665"/>
    <w:multiLevelType w:val="hybridMultilevel"/>
    <w:tmpl w:val="316C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C0"/>
    <w:rsid w:val="00006474"/>
    <w:rsid w:val="00044995"/>
    <w:rsid w:val="000F3428"/>
    <w:rsid w:val="000F6351"/>
    <w:rsid w:val="001235B7"/>
    <w:rsid w:val="00155133"/>
    <w:rsid w:val="00164E6B"/>
    <w:rsid w:val="001730D2"/>
    <w:rsid w:val="001C09FF"/>
    <w:rsid w:val="001C5E1C"/>
    <w:rsid w:val="001D4892"/>
    <w:rsid w:val="00282889"/>
    <w:rsid w:val="003010B6"/>
    <w:rsid w:val="00352777"/>
    <w:rsid w:val="003623A2"/>
    <w:rsid w:val="00365BDC"/>
    <w:rsid w:val="0038599B"/>
    <w:rsid w:val="00396F4F"/>
    <w:rsid w:val="003A5AC8"/>
    <w:rsid w:val="003C1F6B"/>
    <w:rsid w:val="00414924"/>
    <w:rsid w:val="00462F4C"/>
    <w:rsid w:val="00497EB7"/>
    <w:rsid w:val="004F2A9B"/>
    <w:rsid w:val="004F3BD1"/>
    <w:rsid w:val="005558A1"/>
    <w:rsid w:val="00562142"/>
    <w:rsid w:val="00562D5A"/>
    <w:rsid w:val="005730FF"/>
    <w:rsid w:val="00586FC2"/>
    <w:rsid w:val="006127BB"/>
    <w:rsid w:val="006136CB"/>
    <w:rsid w:val="00640A65"/>
    <w:rsid w:val="00692BB8"/>
    <w:rsid w:val="006D7C41"/>
    <w:rsid w:val="007125D6"/>
    <w:rsid w:val="007164BD"/>
    <w:rsid w:val="00730D7B"/>
    <w:rsid w:val="00756C72"/>
    <w:rsid w:val="007F795E"/>
    <w:rsid w:val="00822DC0"/>
    <w:rsid w:val="008F7E95"/>
    <w:rsid w:val="00957D46"/>
    <w:rsid w:val="00A34FE1"/>
    <w:rsid w:val="00A540F0"/>
    <w:rsid w:val="00A8014A"/>
    <w:rsid w:val="00A93102"/>
    <w:rsid w:val="00AD01FF"/>
    <w:rsid w:val="00B35999"/>
    <w:rsid w:val="00B360E0"/>
    <w:rsid w:val="00B628CE"/>
    <w:rsid w:val="00B67EEA"/>
    <w:rsid w:val="00BB5559"/>
    <w:rsid w:val="00C0320D"/>
    <w:rsid w:val="00C30957"/>
    <w:rsid w:val="00C30CED"/>
    <w:rsid w:val="00C448CA"/>
    <w:rsid w:val="00CC56E7"/>
    <w:rsid w:val="00D269C6"/>
    <w:rsid w:val="00DC20F9"/>
    <w:rsid w:val="00E50605"/>
    <w:rsid w:val="00E55A41"/>
    <w:rsid w:val="00E740BF"/>
    <w:rsid w:val="00E87E55"/>
    <w:rsid w:val="00EC0A14"/>
    <w:rsid w:val="00ED11FE"/>
    <w:rsid w:val="00F32704"/>
    <w:rsid w:val="00F5310D"/>
    <w:rsid w:val="00F74C38"/>
    <w:rsid w:val="00F8088F"/>
    <w:rsid w:val="00F92CB8"/>
    <w:rsid w:val="00FA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paragraph" w:styleId="ListParagraph">
    <w:name w:val="List Paragraph"/>
    <w:basedOn w:val="Normal"/>
    <w:uiPriority w:val="34"/>
    <w:qFormat/>
    <w:rsid w:val="00F8088F"/>
    <w:pPr>
      <w:spacing w:after="200" w:line="276" w:lineRule="auto"/>
      <w:ind w:left="720"/>
      <w:contextualSpacing/>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paragraph" w:styleId="ListParagraph">
    <w:name w:val="List Paragraph"/>
    <w:basedOn w:val="Normal"/>
    <w:uiPriority w:val="34"/>
    <w:qFormat/>
    <w:rsid w:val="00F8088F"/>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clegg\AppData\Local\Temp\Temp1_Letterhead_COP.zip\Letterhead_COP\Jeff%20Levine\letterhead_jeff_lev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0D09-1757-4A43-A8BB-D2CD23E1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letterhead_jeff_levine</Template>
  <TotalTime>318</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nicoleclegg</dc:creator>
  <cp:lastModifiedBy>mpd</cp:lastModifiedBy>
  <cp:revision>8</cp:revision>
  <cp:lastPrinted>2015-03-25T15:34:00Z</cp:lastPrinted>
  <dcterms:created xsi:type="dcterms:W3CDTF">2015-03-12T12:43:00Z</dcterms:created>
  <dcterms:modified xsi:type="dcterms:W3CDTF">2015-03-30T13:48:00Z</dcterms:modified>
</cp:coreProperties>
</file>