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EE" w:rsidRDefault="00A773EE" w:rsidP="004A7117">
      <w:pPr>
        <w:jc w:val="center"/>
        <w:rPr>
          <w:rFonts w:eastAsiaTheme="minorEastAsia"/>
          <w:b/>
          <w:iCs/>
          <w:u w:val="single"/>
        </w:rPr>
      </w:pPr>
    </w:p>
    <w:p w:rsidR="007B1916" w:rsidRDefault="007B1916" w:rsidP="004A7117">
      <w:pPr>
        <w:jc w:val="center"/>
        <w:rPr>
          <w:rFonts w:eastAsiaTheme="minorEastAsia"/>
          <w:b/>
          <w:iCs/>
          <w:u w:val="single"/>
        </w:rPr>
      </w:pPr>
    </w:p>
    <w:p w:rsidR="005F2823" w:rsidRDefault="005F2823" w:rsidP="004A7117">
      <w:pPr>
        <w:jc w:val="center"/>
        <w:rPr>
          <w:rFonts w:eastAsiaTheme="minorEastAsia"/>
          <w:b/>
          <w:iCs/>
          <w:u w:val="single"/>
        </w:rPr>
      </w:pPr>
    </w:p>
    <w:p w:rsidR="005F2823" w:rsidRDefault="005F2823" w:rsidP="004A7117">
      <w:pPr>
        <w:jc w:val="center"/>
        <w:rPr>
          <w:rFonts w:eastAsiaTheme="minorEastAsia"/>
          <w:b/>
          <w:iCs/>
          <w:u w:val="single"/>
        </w:rPr>
      </w:pPr>
    </w:p>
    <w:p w:rsidR="007B1916" w:rsidRDefault="007B1916" w:rsidP="004A7117">
      <w:pPr>
        <w:jc w:val="center"/>
        <w:rPr>
          <w:rFonts w:eastAsiaTheme="minorEastAsia"/>
          <w:b/>
          <w:iCs/>
          <w:u w:val="single"/>
        </w:rPr>
      </w:pPr>
    </w:p>
    <w:p w:rsidR="007B1916" w:rsidRDefault="007B1916" w:rsidP="004A7117">
      <w:pPr>
        <w:jc w:val="center"/>
        <w:rPr>
          <w:rFonts w:eastAsiaTheme="minorEastAsia"/>
          <w:b/>
          <w:iCs/>
          <w:u w:val="single"/>
        </w:rPr>
      </w:pPr>
    </w:p>
    <w:p w:rsidR="00C63AF0" w:rsidRPr="005F2823" w:rsidRDefault="00AB68E4" w:rsidP="004A7117">
      <w:pPr>
        <w:jc w:val="center"/>
        <w:rPr>
          <w:rFonts w:eastAsiaTheme="minorEastAsia"/>
          <w:b/>
          <w:iCs/>
          <w:u w:val="single"/>
        </w:rPr>
      </w:pPr>
      <w:r>
        <w:rPr>
          <w:rFonts w:eastAsiaTheme="minorEastAsia"/>
          <w:b/>
          <w:iCs/>
          <w:u w:val="single"/>
        </w:rPr>
        <w:t>ACCESS, DRAINAGE AND UTILITY</w:t>
      </w:r>
      <w:r w:rsidR="005F2823" w:rsidRPr="005F2823">
        <w:rPr>
          <w:rFonts w:eastAsiaTheme="minorEastAsia"/>
          <w:b/>
          <w:iCs/>
          <w:u w:val="single"/>
        </w:rPr>
        <w:t xml:space="preserve"> </w:t>
      </w:r>
      <w:r w:rsidR="00C63AF0" w:rsidRPr="005F2823">
        <w:rPr>
          <w:rFonts w:eastAsiaTheme="minorEastAsia"/>
          <w:b/>
          <w:iCs/>
          <w:u w:val="single"/>
        </w:rPr>
        <w:t>EASE</w:t>
      </w:r>
      <w:r w:rsidR="004A7117" w:rsidRPr="005F2823">
        <w:rPr>
          <w:rFonts w:eastAsiaTheme="minorEastAsia"/>
          <w:b/>
          <w:iCs/>
          <w:u w:val="single"/>
        </w:rPr>
        <w:t>M</w:t>
      </w:r>
      <w:r w:rsidR="00C63AF0" w:rsidRPr="005F2823">
        <w:rPr>
          <w:rFonts w:eastAsiaTheme="minorEastAsia"/>
          <w:b/>
          <w:iCs/>
          <w:u w:val="single"/>
        </w:rPr>
        <w:t>ENT AGREE</w:t>
      </w:r>
      <w:r w:rsidR="004A7117" w:rsidRPr="005F2823">
        <w:rPr>
          <w:rFonts w:eastAsiaTheme="minorEastAsia"/>
          <w:b/>
          <w:iCs/>
          <w:u w:val="single"/>
        </w:rPr>
        <w:t>MENT</w:t>
      </w:r>
    </w:p>
    <w:p w:rsidR="004A7117" w:rsidRPr="00C63AF0" w:rsidRDefault="004A7117" w:rsidP="004A7117">
      <w:pPr>
        <w:jc w:val="center"/>
        <w:rPr>
          <w:rFonts w:eastAsiaTheme="minorEastAsia"/>
          <w:iCs/>
        </w:rPr>
      </w:pPr>
    </w:p>
    <w:p w:rsidR="005F2823" w:rsidRPr="005F2823" w:rsidRDefault="00C63AF0" w:rsidP="00D97374">
      <w:pPr>
        <w:pStyle w:val="BodyTextJ"/>
        <w:jc w:val="left"/>
        <w:rPr>
          <w:rFonts w:eastAsiaTheme="minorEastAsia"/>
          <w:iCs/>
        </w:rPr>
      </w:pPr>
      <w:r w:rsidRPr="00C63AF0">
        <w:rPr>
          <w:rFonts w:eastAsiaTheme="minorEastAsia"/>
        </w:rPr>
        <w:t xml:space="preserve">This </w:t>
      </w:r>
      <w:r w:rsidR="00D97374">
        <w:rPr>
          <w:rFonts w:eastAsiaTheme="minorEastAsia"/>
        </w:rPr>
        <w:t xml:space="preserve">Access, Drainage and Utility </w:t>
      </w:r>
      <w:r w:rsidRPr="00C63AF0">
        <w:rPr>
          <w:rFonts w:eastAsiaTheme="minorEastAsia"/>
        </w:rPr>
        <w:t xml:space="preserve">Easement Agreement (the </w:t>
      </w:r>
      <w:r w:rsidR="004A7117">
        <w:rPr>
          <w:rFonts w:eastAsiaTheme="minorEastAsia"/>
        </w:rPr>
        <w:t>“</w:t>
      </w:r>
      <w:r w:rsidRPr="00A773EE">
        <w:rPr>
          <w:rFonts w:eastAsiaTheme="minorEastAsia"/>
          <w:u w:val="single"/>
        </w:rPr>
        <w:t>Agreement</w:t>
      </w:r>
      <w:r w:rsidR="004A7117">
        <w:rPr>
          <w:rFonts w:eastAsiaTheme="minorEastAsia"/>
        </w:rPr>
        <w:t>”</w:t>
      </w:r>
      <w:r w:rsidRPr="00C63AF0">
        <w:rPr>
          <w:rFonts w:eastAsiaTheme="minorEastAsia"/>
        </w:rPr>
        <w:t xml:space="preserve">) is made and entered into as of this </w:t>
      </w:r>
      <w:r w:rsidR="00F654CC">
        <w:rPr>
          <w:rFonts w:eastAsiaTheme="minorEastAsia"/>
        </w:rPr>
        <w:t>19th</w:t>
      </w:r>
      <w:r w:rsidRPr="00C63AF0">
        <w:rPr>
          <w:rFonts w:eastAsiaTheme="minorEastAsia"/>
        </w:rPr>
        <w:t xml:space="preserve"> day of </w:t>
      </w:r>
      <w:r w:rsidR="00F654CC">
        <w:rPr>
          <w:rFonts w:eastAsiaTheme="minorEastAsia"/>
        </w:rPr>
        <w:t>August</w:t>
      </w:r>
      <w:r w:rsidRPr="00C63AF0">
        <w:rPr>
          <w:rFonts w:eastAsiaTheme="minorEastAsia"/>
        </w:rPr>
        <w:t xml:space="preserve">, </w:t>
      </w:r>
      <w:r w:rsidR="00A773EE">
        <w:rPr>
          <w:rFonts w:eastAsiaTheme="minorEastAsia"/>
        </w:rPr>
        <w:t>2016</w:t>
      </w:r>
      <w:r w:rsidR="00803696">
        <w:rPr>
          <w:rFonts w:eastAsiaTheme="minorEastAsia"/>
        </w:rPr>
        <w:t xml:space="preserve"> (the “</w:t>
      </w:r>
      <w:r w:rsidR="00803696" w:rsidRPr="00803696">
        <w:rPr>
          <w:rFonts w:eastAsiaTheme="minorEastAsia"/>
          <w:u w:val="single"/>
        </w:rPr>
        <w:t>Effective Date</w:t>
      </w:r>
      <w:r w:rsidR="00803696">
        <w:rPr>
          <w:rFonts w:eastAsiaTheme="minorEastAsia"/>
        </w:rPr>
        <w:t>”)</w:t>
      </w:r>
      <w:r w:rsidRPr="00C63AF0">
        <w:rPr>
          <w:rFonts w:eastAsiaTheme="minorEastAsia"/>
        </w:rPr>
        <w:t xml:space="preserve">, by and </w:t>
      </w:r>
      <w:r w:rsidR="00A773EE">
        <w:rPr>
          <w:rFonts w:eastAsiaTheme="minorEastAsia"/>
        </w:rPr>
        <w:t>between</w:t>
      </w:r>
      <w:r w:rsidR="005B3305">
        <w:rPr>
          <w:rFonts w:eastAsiaTheme="minorEastAsia"/>
        </w:rPr>
        <w:t xml:space="preserve"> </w:t>
      </w:r>
      <w:r w:rsidR="005B3305" w:rsidRPr="00417A80">
        <w:rPr>
          <w:rFonts w:eastAsiaTheme="minorEastAsia"/>
        </w:rPr>
        <w:t>PORTLAND NORWICH GROUP LLC,</w:t>
      </w:r>
      <w:r w:rsidR="005B3305">
        <w:rPr>
          <w:rFonts w:eastAsiaTheme="minorEastAsia"/>
        </w:rPr>
        <w:t xml:space="preserve"> a Delaware limited liability company </w:t>
      </w:r>
      <w:r w:rsidRPr="00C63AF0">
        <w:rPr>
          <w:rFonts w:eastAsiaTheme="minorEastAsia"/>
        </w:rPr>
        <w:t>(</w:t>
      </w:r>
      <w:r w:rsidR="004A7117">
        <w:rPr>
          <w:rFonts w:eastAsiaTheme="minorEastAsia"/>
        </w:rPr>
        <w:t>“</w:t>
      </w:r>
      <w:r w:rsidR="00762791">
        <w:rPr>
          <w:rFonts w:eastAsiaTheme="minorEastAsia"/>
          <w:u w:val="single"/>
        </w:rPr>
        <w:t>Portland Norwich</w:t>
      </w:r>
      <w:r w:rsidR="005B3305">
        <w:rPr>
          <w:rFonts w:eastAsiaTheme="minorEastAsia"/>
        </w:rPr>
        <w:t>”</w:t>
      </w:r>
      <w:r w:rsidRPr="00C63AF0">
        <w:rPr>
          <w:rFonts w:eastAsiaTheme="minorEastAsia"/>
        </w:rPr>
        <w:t xml:space="preserve">) and </w:t>
      </w:r>
      <w:r w:rsidR="000F028B">
        <w:rPr>
          <w:rFonts w:eastAsiaTheme="minorEastAsia"/>
        </w:rPr>
        <w:t>PORTLAND NORWICH ACQUISITION LLC</w:t>
      </w:r>
      <w:r w:rsidR="00D97374">
        <w:rPr>
          <w:rFonts w:eastAsiaTheme="minorEastAsia"/>
        </w:rPr>
        <w:t xml:space="preserve"> </w:t>
      </w:r>
      <w:r w:rsidR="005B3305">
        <w:rPr>
          <w:rFonts w:eastAsiaTheme="minorEastAsia"/>
        </w:rPr>
        <w:t>a Delaware limited liability company</w:t>
      </w:r>
      <w:r w:rsidRPr="00C63AF0">
        <w:rPr>
          <w:rFonts w:eastAsiaTheme="minorEastAsia"/>
        </w:rPr>
        <w:t xml:space="preserve"> (</w:t>
      </w:r>
      <w:r w:rsidR="004A7117">
        <w:rPr>
          <w:rFonts w:eastAsiaTheme="minorEastAsia"/>
        </w:rPr>
        <w:t>“</w:t>
      </w:r>
      <w:r w:rsidR="00D97374" w:rsidRPr="000F028B">
        <w:rPr>
          <w:rFonts w:eastAsiaTheme="minorEastAsia"/>
          <w:u w:val="single"/>
        </w:rPr>
        <w:t>P</w:t>
      </w:r>
      <w:r w:rsidR="00762791" w:rsidRPr="000F028B">
        <w:rPr>
          <w:rFonts w:eastAsiaTheme="minorEastAsia"/>
          <w:u w:val="single"/>
        </w:rPr>
        <w:t>ortland Acquisition</w:t>
      </w:r>
      <w:r w:rsidR="004A7117">
        <w:rPr>
          <w:rFonts w:eastAsiaTheme="minorEastAsia"/>
        </w:rPr>
        <w:t>”</w:t>
      </w:r>
      <w:r w:rsidRPr="00C63AF0">
        <w:rPr>
          <w:rFonts w:eastAsiaTheme="minorEastAsia"/>
        </w:rPr>
        <w:t>)</w:t>
      </w:r>
      <w:r w:rsidRPr="00C63AF0">
        <w:rPr>
          <w:rFonts w:eastAsiaTheme="minorEastAsia"/>
          <w:iCs/>
        </w:rPr>
        <w:t>.</w:t>
      </w:r>
      <w:r w:rsidR="00212EF4">
        <w:rPr>
          <w:rFonts w:eastAsiaTheme="minorEastAsia"/>
          <w:iCs/>
        </w:rPr>
        <w:t xml:space="preserve">  Portland Norwich and Portland Acquisition are sometimes individually referred to herein as a “</w:t>
      </w:r>
      <w:r w:rsidR="00212EF4" w:rsidRPr="00212EF4">
        <w:rPr>
          <w:rFonts w:eastAsiaTheme="minorEastAsia"/>
          <w:iCs/>
          <w:u w:val="single"/>
        </w:rPr>
        <w:t>Party</w:t>
      </w:r>
      <w:r w:rsidR="00212EF4">
        <w:rPr>
          <w:rFonts w:eastAsiaTheme="minorEastAsia"/>
          <w:iCs/>
        </w:rPr>
        <w:t xml:space="preserve">” and are sometimes collectively referred to herein as the </w:t>
      </w:r>
      <w:r w:rsidR="00587986">
        <w:rPr>
          <w:rFonts w:eastAsiaTheme="minorEastAsia"/>
          <w:iCs/>
        </w:rPr>
        <w:t>“</w:t>
      </w:r>
      <w:r w:rsidR="00212EF4" w:rsidRPr="00587986">
        <w:rPr>
          <w:rFonts w:eastAsiaTheme="minorEastAsia"/>
          <w:iCs/>
          <w:u w:val="single"/>
        </w:rPr>
        <w:t>Parties</w:t>
      </w:r>
      <w:r w:rsidR="00587986">
        <w:rPr>
          <w:rFonts w:eastAsiaTheme="minorEastAsia"/>
          <w:iCs/>
        </w:rPr>
        <w:t>”</w:t>
      </w:r>
      <w:r w:rsidR="00212EF4">
        <w:rPr>
          <w:rFonts w:eastAsiaTheme="minorEastAsia"/>
          <w:iCs/>
        </w:rPr>
        <w:t>.</w:t>
      </w:r>
    </w:p>
    <w:p w:rsidR="00762791" w:rsidRPr="000F028B" w:rsidRDefault="00762791" w:rsidP="00762791">
      <w:pPr>
        <w:pStyle w:val="BodyTextJ"/>
        <w:rPr>
          <w:rFonts w:eastAsiaTheme="minorEastAsia"/>
          <w:iCs/>
        </w:rPr>
      </w:pPr>
      <w:r w:rsidRPr="000F028B">
        <w:rPr>
          <w:rFonts w:eastAsiaTheme="minorEastAsia"/>
          <w:iCs/>
        </w:rPr>
        <w:t>WHEREAS, Portland Norwich</w:t>
      </w:r>
      <w:r w:rsidR="00C63AF0" w:rsidRPr="000F028B">
        <w:rPr>
          <w:rFonts w:eastAsiaTheme="minorEastAsia"/>
          <w:iCs/>
        </w:rPr>
        <w:t xml:space="preserve"> </w:t>
      </w:r>
      <w:r w:rsidR="00D97374" w:rsidRPr="000F028B">
        <w:rPr>
          <w:rFonts w:eastAsiaTheme="minorEastAsia"/>
          <w:iCs/>
        </w:rPr>
        <w:t xml:space="preserve">is the owner of </w:t>
      </w:r>
      <w:r w:rsidRPr="000F028B">
        <w:rPr>
          <w:rFonts w:eastAsiaTheme="minorEastAsia"/>
          <w:iCs/>
        </w:rPr>
        <w:t>a certain parcel of land shown as Lot 1</w:t>
      </w:r>
      <w:r w:rsidR="00FA58A7" w:rsidRPr="000F028B">
        <w:rPr>
          <w:rFonts w:eastAsiaTheme="minorEastAsia"/>
          <w:iCs/>
        </w:rPr>
        <w:t xml:space="preserve"> (“</w:t>
      </w:r>
      <w:r w:rsidR="00FA58A7" w:rsidRPr="00E57455">
        <w:rPr>
          <w:rFonts w:eastAsiaTheme="minorEastAsia"/>
          <w:b/>
          <w:iCs/>
          <w:u w:val="single"/>
        </w:rPr>
        <w:t>Lot 1</w:t>
      </w:r>
      <w:r w:rsidR="00FA58A7" w:rsidRPr="000F028B">
        <w:rPr>
          <w:rFonts w:eastAsiaTheme="minorEastAsia"/>
          <w:iCs/>
        </w:rPr>
        <w:t>”)</w:t>
      </w:r>
      <w:r w:rsidRPr="000F028B">
        <w:rPr>
          <w:rFonts w:eastAsiaTheme="minorEastAsia"/>
          <w:iCs/>
        </w:rPr>
        <w:t xml:space="preserve"> on a certain plan entitled “Recording Plat 158 Fore Street, 158 Fore Street, Portland, Maine, made for record owner Portland Norwich Group, LLC, by Owen Haskell, Inc., dated March 11, 2016, filed with the Cumberland County Registry of Deeds on June 6, 2016, in Plan Book 216, Page 185 (the “</w:t>
      </w:r>
      <w:r w:rsidRPr="000F028B">
        <w:rPr>
          <w:rFonts w:eastAsiaTheme="minorEastAsia"/>
          <w:iCs/>
          <w:u w:val="single"/>
        </w:rPr>
        <w:t>Plan</w:t>
      </w:r>
      <w:r w:rsidRPr="000F028B">
        <w:rPr>
          <w:rFonts w:eastAsiaTheme="minorEastAsia"/>
          <w:iCs/>
        </w:rPr>
        <w:t>”), and</w:t>
      </w:r>
    </w:p>
    <w:p w:rsidR="00762791" w:rsidRPr="000F028B" w:rsidRDefault="00762791" w:rsidP="00762791">
      <w:pPr>
        <w:pStyle w:val="BodyTextJ"/>
        <w:rPr>
          <w:rFonts w:eastAsiaTheme="minorEastAsia"/>
          <w:iCs/>
        </w:rPr>
      </w:pPr>
      <w:r w:rsidRPr="000F028B">
        <w:rPr>
          <w:rFonts w:eastAsiaTheme="minorEastAsia"/>
          <w:iCs/>
        </w:rPr>
        <w:t>WHEREAS, Portland Acquisition is the owner of a certain parcel of land shown as Lot 2</w:t>
      </w:r>
      <w:r w:rsidR="00FA58A7" w:rsidRPr="000F028B">
        <w:rPr>
          <w:rFonts w:eastAsiaTheme="minorEastAsia"/>
          <w:iCs/>
        </w:rPr>
        <w:t xml:space="preserve"> (“</w:t>
      </w:r>
      <w:r w:rsidR="00FA58A7" w:rsidRPr="00E57455">
        <w:rPr>
          <w:rFonts w:eastAsiaTheme="minorEastAsia"/>
          <w:b/>
          <w:iCs/>
          <w:u w:val="single"/>
        </w:rPr>
        <w:t>Lot 2</w:t>
      </w:r>
      <w:r w:rsidR="00FA58A7" w:rsidRPr="000F028B">
        <w:rPr>
          <w:rFonts w:eastAsiaTheme="minorEastAsia"/>
          <w:iCs/>
        </w:rPr>
        <w:t>”)</w:t>
      </w:r>
      <w:r w:rsidRPr="000F028B">
        <w:rPr>
          <w:rFonts w:eastAsiaTheme="minorEastAsia"/>
          <w:iCs/>
        </w:rPr>
        <w:t xml:space="preserve"> on the Plan, and</w:t>
      </w:r>
    </w:p>
    <w:p w:rsidR="00FA58A7" w:rsidRPr="000F028B" w:rsidRDefault="00762791" w:rsidP="00762791">
      <w:pPr>
        <w:pStyle w:val="BodyTextJ"/>
        <w:rPr>
          <w:rFonts w:eastAsiaTheme="minorEastAsia"/>
          <w:iCs/>
        </w:rPr>
      </w:pPr>
      <w:r w:rsidRPr="000F028B">
        <w:rPr>
          <w:rFonts w:eastAsiaTheme="minorEastAsia"/>
          <w:iCs/>
        </w:rPr>
        <w:t>WHEREAS, Portland Norwich and Portland Acquisition are desirous of entering into this Agreement for the purpose of establishing certain access, drainage and utility easements in that certain area</w:t>
      </w:r>
      <w:r w:rsidR="00FA58A7" w:rsidRPr="000F028B">
        <w:rPr>
          <w:rFonts w:eastAsiaTheme="minorEastAsia"/>
          <w:iCs/>
        </w:rPr>
        <w:t xml:space="preserve"> </w:t>
      </w:r>
      <w:r w:rsidRPr="000F028B">
        <w:rPr>
          <w:rFonts w:eastAsiaTheme="minorEastAsia"/>
          <w:iCs/>
        </w:rPr>
        <w:t>shown</w:t>
      </w:r>
      <w:r w:rsidR="00545231">
        <w:rPr>
          <w:rFonts w:eastAsiaTheme="minorEastAsia"/>
          <w:iCs/>
        </w:rPr>
        <w:t xml:space="preserve"> as “Access and Drainage Utility Easement”</w:t>
      </w:r>
      <w:r w:rsidRPr="000F028B">
        <w:rPr>
          <w:rFonts w:eastAsiaTheme="minorEastAsia"/>
          <w:iCs/>
        </w:rPr>
        <w:t xml:space="preserve"> </w:t>
      </w:r>
      <w:r w:rsidR="00545231" w:rsidRPr="000F028B">
        <w:rPr>
          <w:rFonts w:eastAsiaTheme="minorEastAsia"/>
          <w:iCs/>
        </w:rPr>
        <w:t>(the “</w:t>
      </w:r>
      <w:r w:rsidR="00545231" w:rsidRPr="000F028B">
        <w:rPr>
          <w:rFonts w:eastAsiaTheme="minorEastAsia"/>
          <w:iCs/>
          <w:u w:val="single"/>
        </w:rPr>
        <w:t>Easement Area</w:t>
      </w:r>
      <w:r w:rsidR="00545231" w:rsidRPr="000F028B">
        <w:rPr>
          <w:rFonts w:eastAsiaTheme="minorEastAsia"/>
          <w:iCs/>
        </w:rPr>
        <w:t xml:space="preserve">”) </w:t>
      </w:r>
      <w:r w:rsidRPr="000F028B">
        <w:rPr>
          <w:rFonts w:eastAsiaTheme="minorEastAsia"/>
          <w:iCs/>
        </w:rPr>
        <w:t xml:space="preserve">on the plan attached hereto as </w:t>
      </w:r>
      <w:r w:rsidRPr="000F028B">
        <w:rPr>
          <w:rFonts w:eastAsiaTheme="minorEastAsia"/>
          <w:iCs/>
          <w:u w:val="single"/>
        </w:rPr>
        <w:t>Exhibit A</w:t>
      </w:r>
      <w:r w:rsidRPr="000F028B">
        <w:rPr>
          <w:rFonts w:eastAsiaTheme="minorEastAsia"/>
          <w:iCs/>
        </w:rPr>
        <w:t xml:space="preserve"> entitled “Exhibit Plan, 1</w:t>
      </w:r>
      <w:r w:rsidR="00545231">
        <w:rPr>
          <w:rFonts w:eastAsiaTheme="minorEastAsia"/>
          <w:iCs/>
        </w:rPr>
        <w:t>58 Fore Street, Portland, Maine”, dated May 31, 2016, by Owen Haskell, Inc. (the “</w:t>
      </w:r>
      <w:r w:rsidR="00545231" w:rsidRPr="00545231">
        <w:rPr>
          <w:rFonts w:eastAsiaTheme="minorEastAsia"/>
          <w:iCs/>
          <w:u w:val="single"/>
        </w:rPr>
        <w:t>Easement Plan</w:t>
      </w:r>
      <w:r w:rsidR="00545231">
        <w:rPr>
          <w:rFonts w:eastAsiaTheme="minorEastAsia"/>
          <w:iCs/>
        </w:rPr>
        <w:t>”)</w:t>
      </w:r>
    </w:p>
    <w:p w:rsidR="00FA58A7" w:rsidRPr="000F028B" w:rsidRDefault="00FA58A7" w:rsidP="00FA58A7">
      <w:pPr>
        <w:pStyle w:val="BodyTextJ"/>
        <w:numPr>
          <w:ilvl w:val="0"/>
          <w:numId w:val="32"/>
        </w:numPr>
        <w:rPr>
          <w:rFonts w:eastAsiaTheme="minorEastAsia"/>
          <w:iCs/>
        </w:rPr>
      </w:pPr>
      <w:r w:rsidRPr="000F028B">
        <w:rPr>
          <w:rFonts w:eastAsiaTheme="minorEastAsia"/>
          <w:iCs/>
        </w:rPr>
        <w:t xml:space="preserve">the metes and bounds of which Easement Area are set forth on </w:t>
      </w:r>
      <w:r w:rsidRPr="000F028B">
        <w:rPr>
          <w:rFonts w:eastAsiaTheme="minorEastAsia"/>
          <w:iCs/>
          <w:u w:val="single"/>
        </w:rPr>
        <w:t>Exhibit A</w:t>
      </w:r>
      <w:r w:rsidRPr="000F028B">
        <w:rPr>
          <w:rFonts w:eastAsiaTheme="minorEastAsia"/>
          <w:iCs/>
        </w:rPr>
        <w:t>,</w:t>
      </w:r>
    </w:p>
    <w:p w:rsidR="00FA58A7" w:rsidRPr="000F028B" w:rsidRDefault="00FA58A7" w:rsidP="00FA58A7">
      <w:pPr>
        <w:pStyle w:val="BodyTextJ"/>
        <w:numPr>
          <w:ilvl w:val="0"/>
          <w:numId w:val="32"/>
        </w:numPr>
        <w:rPr>
          <w:rFonts w:eastAsiaTheme="minorEastAsia"/>
          <w:iCs/>
        </w:rPr>
      </w:pPr>
      <w:r w:rsidRPr="000F028B">
        <w:rPr>
          <w:rFonts w:eastAsiaTheme="minorEastAsia"/>
          <w:iCs/>
        </w:rPr>
        <w:t xml:space="preserve"> the metes and bounds of the portion of the Easement Area located on Lot 1 </w:t>
      </w:r>
      <w:r w:rsidR="00545231" w:rsidRPr="000F028B">
        <w:rPr>
          <w:rFonts w:eastAsiaTheme="minorEastAsia"/>
          <w:iCs/>
        </w:rPr>
        <w:t>(the “</w:t>
      </w:r>
      <w:r w:rsidR="00545231" w:rsidRPr="000F028B">
        <w:rPr>
          <w:rFonts w:eastAsiaTheme="minorEastAsia"/>
          <w:iCs/>
          <w:u w:val="single"/>
        </w:rPr>
        <w:t>Lot 1 Easement Area</w:t>
      </w:r>
      <w:r w:rsidR="00545231" w:rsidRPr="000F028B">
        <w:rPr>
          <w:rFonts w:eastAsiaTheme="minorEastAsia"/>
          <w:iCs/>
        </w:rPr>
        <w:t>”)</w:t>
      </w:r>
      <w:r w:rsidR="00545231">
        <w:rPr>
          <w:rFonts w:eastAsiaTheme="minorEastAsia"/>
          <w:iCs/>
        </w:rPr>
        <w:t xml:space="preserve"> </w:t>
      </w:r>
      <w:r w:rsidRPr="000F028B">
        <w:rPr>
          <w:rFonts w:eastAsiaTheme="minorEastAsia"/>
          <w:iCs/>
        </w:rPr>
        <w:t xml:space="preserve">are set forth on </w:t>
      </w:r>
      <w:r w:rsidRPr="00EE14C2">
        <w:rPr>
          <w:rFonts w:eastAsiaTheme="minorEastAsia"/>
          <w:iCs/>
          <w:u w:val="single"/>
        </w:rPr>
        <w:t>Exhibit A-1</w:t>
      </w:r>
      <w:r w:rsidRPr="000F028B">
        <w:rPr>
          <w:rFonts w:eastAsiaTheme="minorEastAsia"/>
          <w:iCs/>
        </w:rPr>
        <w:t xml:space="preserve"> </w:t>
      </w:r>
      <w:r w:rsidR="00EE14C2">
        <w:rPr>
          <w:rFonts w:eastAsiaTheme="minorEastAsia"/>
          <w:iCs/>
        </w:rPr>
        <w:t>attached hereto</w:t>
      </w:r>
      <w:r w:rsidRPr="000F028B">
        <w:rPr>
          <w:rFonts w:eastAsiaTheme="minorEastAsia"/>
          <w:iCs/>
        </w:rPr>
        <w:t>, and</w:t>
      </w:r>
    </w:p>
    <w:p w:rsidR="00762791" w:rsidRPr="000F028B" w:rsidRDefault="00FA58A7" w:rsidP="00FA58A7">
      <w:pPr>
        <w:pStyle w:val="BodyTextJ"/>
        <w:numPr>
          <w:ilvl w:val="0"/>
          <w:numId w:val="32"/>
        </w:numPr>
        <w:rPr>
          <w:rFonts w:eastAsiaTheme="minorEastAsia"/>
          <w:iCs/>
        </w:rPr>
      </w:pPr>
      <w:r w:rsidRPr="000F028B">
        <w:rPr>
          <w:rFonts w:eastAsiaTheme="minorEastAsia"/>
          <w:iCs/>
        </w:rPr>
        <w:t>the metes and bo</w:t>
      </w:r>
      <w:r w:rsidR="007C47AB">
        <w:rPr>
          <w:rFonts w:eastAsiaTheme="minorEastAsia"/>
          <w:iCs/>
        </w:rPr>
        <w:t>u</w:t>
      </w:r>
      <w:r w:rsidRPr="000F028B">
        <w:rPr>
          <w:rFonts w:eastAsiaTheme="minorEastAsia"/>
          <w:iCs/>
        </w:rPr>
        <w:t xml:space="preserve">nds of the portion of the Easement Area located on Lot 2 </w:t>
      </w:r>
      <w:r w:rsidR="00545231" w:rsidRPr="000F028B">
        <w:rPr>
          <w:rFonts w:eastAsiaTheme="minorEastAsia"/>
          <w:iCs/>
        </w:rPr>
        <w:t>(the “</w:t>
      </w:r>
      <w:r w:rsidR="00545231" w:rsidRPr="000F028B">
        <w:rPr>
          <w:rFonts w:eastAsiaTheme="minorEastAsia"/>
          <w:iCs/>
          <w:u w:val="single"/>
        </w:rPr>
        <w:t>Lot 2 Easement Area</w:t>
      </w:r>
      <w:r w:rsidR="00545231" w:rsidRPr="000F028B">
        <w:rPr>
          <w:rFonts w:eastAsiaTheme="minorEastAsia"/>
          <w:iCs/>
        </w:rPr>
        <w:t>”)</w:t>
      </w:r>
      <w:r w:rsidR="00545231">
        <w:rPr>
          <w:rFonts w:eastAsiaTheme="minorEastAsia"/>
          <w:iCs/>
        </w:rPr>
        <w:t xml:space="preserve"> </w:t>
      </w:r>
      <w:r w:rsidRPr="000F028B">
        <w:rPr>
          <w:rFonts w:eastAsiaTheme="minorEastAsia"/>
          <w:iCs/>
        </w:rPr>
        <w:t xml:space="preserve">are set forth on </w:t>
      </w:r>
      <w:r w:rsidRPr="00EE14C2">
        <w:rPr>
          <w:rFonts w:eastAsiaTheme="minorEastAsia"/>
          <w:iCs/>
          <w:u w:val="single"/>
        </w:rPr>
        <w:t>Exhibit A-2</w:t>
      </w:r>
      <w:r w:rsidR="00EE14C2">
        <w:rPr>
          <w:rFonts w:eastAsiaTheme="minorEastAsia"/>
          <w:iCs/>
        </w:rPr>
        <w:t xml:space="preserve"> attached hereto</w:t>
      </w:r>
      <w:r w:rsidR="00762791" w:rsidRPr="000F028B">
        <w:rPr>
          <w:rFonts w:eastAsiaTheme="minorEastAsia"/>
          <w:iCs/>
        </w:rPr>
        <w:t xml:space="preserve">. </w:t>
      </w:r>
    </w:p>
    <w:p w:rsidR="00C63AF0" w:rsidRPr="00C63AF0" w:rsidRDefault="00FA58A7" w:rsidP="004C3E9B">
      <w:pPr>
        <w:pStyle w:val="BodyTextJ"/>
        <w:rPr>
          <w:rFonts w:eastAsiaTheme="minorEastAsia"/>
          <w:iCs/>
        </w:rPr>
      </w:pPr>
      <w:r w:rsidRPr="000F028B">
        <w:rPr>
          <w:rFonts w:eastAsiaTheme="minorEastAsia"/>
          <w:iCs/>
        </w:rPr>
        <w:t>NOW, THEREFORE</w:t>
      </w:r>
      <w:r>
        <w:rPr>
          <w:rFonts w:eastAsiaTheme="minorEastAsia"/>
          <w:iCs/>
        </w:rPr>
        <w:t xml:space="preserve">, </w:t>
      </w:r>
      <w:r w:rsidR="00C63AF0" w:rsidRPr="00C63AF0">
        <w:rPr>
          <w:rFonts w:eastAsiaTheme="minorEastAsia"/>
          <w:iCs/>
        </w:rPr>
        <w:t>In consideration of the mutual covenants herein contained and further valuable considerati</w:t>
      </w:r>
      <w:r w:rsidR="004C3E9B">
        <w:rPr>
          <w:rFonts w:eastAsiaTheme="minorEastAsia"/>
          <w:iCs/>
        </w:rPr>
        <w:t>o</w:t>
      </w:r>
      <w:r w:rsidR="00C63AF0" w:rsidRPr="00C63AF0">
        <w:rPr>
          <w:rFonts w:eastAsiaTheme="minorEastAsia"/>
          <w:iCs/>
        </w:rPr>
        <w:t>n, the receipt and legal sufficiency of</w:t>
      </w:r>
      <w:r w:rsidR="004C3E9B">
        <w:rPr>
          <w:rFonts w:eastAsiaTheme="minorEastAsia"/>
          <w:iCs/>
        </w:rPr>
        <w:t xml:space="preserve"> w</w:t>
      </w:r>
      <w:r w:rsidR="00C63AF0" w:rsidRPr="00C63AF0">
        <w:rPr>
          <w:rFonts w:eastAsiaTheme="minorEastAsia"/>
          <w:iCs/>
        </w:rPr>
        <w:t>hich are hereby a</w:t>
      </w:r>
      <w:r w:rsidR="004C3E9B">
        <w:rPr>
          <w:rFonts w:eastAsiaTheme="minorEastAsia"/>
          <w:iCs/>
        </w:rPr>
        <w:t>c</w:t>
      </w:r>
      <w:r w:rsidR="00C63AF0" w:rsidRPr="00C63AF0">
        <w:rPr>
          <w:rFonts w:eastAsiaTheme="minorEastAsia"/>
          <w:iCs/>
        </w:rPr>
        <w:t>knowledged, the parties hereby agree as follows:</w:t>
      </w:r>
    </w:p>
    <w:p w:rsidR="009A011B" w:rsidRDefault="00C63AF0" w:rsidP="00A20F04">
      <w:pPr>
        <w:pStyle w:val="Heading1"/>
      </w:pPr>
      <w:r w:rsidRPr="00A20F04">
        <w:rPr>
          <w:u w:val="single"/>
        </w:rPr>
        <w:t xml:space="preserve">Grant by </w:t>
      </w:r>
      <w:r w:rsidR="00762791">
        <w:rPr>
          <w:u w:val="single"/>
        </w:rPr>
        <w:t>Portland Norwich</w:t>
      </w:r>
      <w:r w:rsidRPr="00A20F04">
        <w:rPr>
          <w:u w:val="single"/>
        </w:rPr>
        <w:t xml:space="preserve"> to </w:t>
      </w:r>
      <w:r w:rsidR="00762791">
        <w:rPr>
          <w:u w:val="single"/>
        </w:rPr>
        <w:t>Portland Acquisition</w:t>
      </w:r>
      <w:r w:rsidRPr="00C63AF0">
        <w:t xml:space="preserve">. </w:t>
      </w:r>
      <w:r w:rsidR="005F2823">
        <w:t xml:space="preserve"> </w:t>
      </w:r>
      <w:r w:rsidR="00FA58A7">
        <w:t>Portland Norwich</w:t>
      </w:r>
      <w:r w:rsidRPr="00C63AF0">
        <w:t xml:space="preserve"> hereby grants and conveys to </w:t>
      </w:r>
      <w:r w:rsidR="00FA58A7">
        <w:t>Portland Acquisition</w:t>
      </w:r>
      <w:r w:rsidR="00245A67">
        <w:t>,</w:t>
      </w:r>
      <w:r w:rsidR="00F509FB">
        <w:t xml:space="preserve"> </w:t>
      </w:r>
      <w:r w:rsidR="00F509FB" w:rsidRPr="009A011B">
        <w:t xml:space="preserve">as appurtenant to </w:t>
      </w:r>
      <w:r w:rsidR="00F509FB">
        <w:t>Lot 2</w:t>
      </w:r>
      <w:r w:rsidR="00545231">
        <w:t xml:space="preserve"> and any portion thereof, in common with others entitled thereto</w:t>
      </w:r>
      <w:r w:rsidR="00F509FB" w:rsidRPr="009A011B">
        <w:t>, for the purposes set forth herein, and subject to the terms a</w:t>
      </w:r>
      <w:r w:rsidR="00F509FB">
        <w:t>nd conditions set forth herein</w:t>
      </w:r>
      <w:r w:rsidRPr="00C63AF0">
        <w:t xml:space="preserve">, </w:t>
      </w:r>
      <w:r w:rsidR="009A011B">
        <w:t>the following</w:t>
      </w:r>
      <w:r w:rsidR="00F509FB">
        <w:t xml:space="preserve"> rights and easements</w:t>
      </w:r>
      <w:r w:rsidR="009A011B">
        <w:t>:</w:t>
      </w:r>
    </w:p>
    <w:p w:rsidR="00C63AF0" w:rsidRDefault="009A011B" w:rsidP="009A011B">
      <w:pPr>
        <w:pStyle w:val="Heading2"/>
      </w:pPr>
      <w:r w:rsidRPr="009A011B">
        <w:rPr>
          <w:u w:val="single"/>
        </w:rPr>
        <w:lastRenderedPageBreak/>
        <w:t>Access Easement</w:t>
      </w:r>
      <w:r>
        <w:t xml:space="preserve">.  </w:t>
      </w:r>
      <w:r w:rsidR="00F509FB">
        <w:t>The</w:t>
      </w:r>
      <w:r w:rsidR="00C63AF0" w:rsidRPr="00C63AF0">
        <w:t xml:space="preserve"> non-exclusive</w:t>
      </w:r>
      <w:r w:rsidR="00F509FB">
        <w:t>, perpetual</w:t>
      </w:r>
      <w:r w:rsidR="00C63AF0" w:rsidRPr="00C63AF0">
        <w:t xml:space="preserve"> right and easement</w:t>
      </w:r>
      <w:r w:rsidR="005F2823">
        <w:t xml:space="preserve"> for </w:t>
      </w:r>
      <w:r w:rsidR="005E6CCC">
        <w:t xml:space="preserve">pedestrian and vehicular </w:t>
      </w:r>
      <w:r w:rsidR="005F2823">
        <w:t>ingress, egres</w:t>
      </w:r>
      <w:r w:rsidR="005E6CCC">
        <w:t>s and passage</w:t>
      </w:r>
      <w:r w:rsidR="00245A67">
        <w:t xml:space="preserve"> to Lot 2</w:t>
      </w:r>
      <w:r w:rsidR="005F2823">
        <w:t xml:space="preserve"> </w:t>
      </w:r>
      <w:r w:rsidR="00245A67">
        <w:t>upon, over, and across the Lot 1 Easement Area</w:t>
      </w:r>
      <w:r w:rsidR="007C47AB">
        <w:t>, and the non-exclusive, per</w:t>
      </w:r>
      <w:r w:rsidR="00545231">
        <w:t xml:space="preserve">petual right and </w:t>
      </w:r>
      <w:r w:rsidR="007C47AB">
        <w:t xml:space="preserve">easement </w:t>
      </w:r>
      <w:r w:rsidR="00545231">
        <w:t xml:space="preserve">in, upon, </w:t>
      </w:r>
      <w:r w:rsidR="007C47AB">
        <w:t xml:space="preserve">over and across the Lot 1 </w:t>
      </w:r>
      <w:r w:rsidR="00545231">
        <w:t>E</w:t>
      </w:r>
      <w:r w:rsidR="007C47AB">
        <w:t xml:space="preserve">asement Area </w:t>
      </w:r>
      <w:r w:rsidR="00E17CEB">
        <w:t xml:space="preserve">for the </w:t>
      </w:r>
      <w:r w:rsidR="00DC1CFF">
        <w:t xml:space="preserve">purpose of maintaining and repairing </w:t>
      </w:r>
      <w:r w:rsidR="009B211D">
        <w:t>the Easement Area as provided in, but specifically subject to, the provisions of this Agreement.</w:t>
      </w:r>
    </w:p>
    <w:p w:rsidR="009A011B" w:rsidRDefault="009A011B" w:rsidP="009A011B">
      <w:pPr>
        <w:pStyle w:val="Heading2"/>
      </w:pPr>
      <w:r>
        <w:rPr>
          <w:u w:val="single"/>
        </w:rPr>
        <w:t>Utility Easement</w:t>
      </w:r>
      <w:r w:rsidRPr="009A011B">
        <w:t>.</w:t>
      </w:r>
      <w:r>
        <w:t xml:space="preserve">  </w:t>
      </w:r>
      <w:r w:rsidR="00B54A19">
        <w:t>T</w:t>
      </w:r>
      <w:r w:rsidRPr="009A011B">
        <w:t xml:space="preserve">he non-exclusive, perpetual right and easement to </w:t>
      </w:r>
      <w:r w:rsidR="00F509FB">
        <w:t xml:space="preserve">construct, install, </w:t>
      </w:r>
      <w:r w:rsidRPr="009A011B">
        <w:t xml:space="preserve">inspect, repair, replace, reconstruct, maintain and operate for its own purposes underground </w:t>
      </w:r>
      <w:r w:rsidR="00F509FB">
        <w:t>utility</w:t>
      </w:r>
      <w:r w:rsidRPr="009A011B">
        <w:t xml:space="preserve"> line</w:t>
      </w:r>
      <w:r w:rsidR="00F509FB">
        <w:t>s</w:t>
      </w:r>
      <w:r w:rsidR="00DC1CFF">
        <w:t xml:space="preserve">, and appurtenances and equipment relating thereto, </w:t>
      </w:r>
      <w:r w:rsidRPr="009A011B">
        <w:t xml:space="preserve">for the transmission of </w:t>
      </w:r>
      <w:r w:rsidR="00F509FB">
        <w:t>natural gas, water, sewer, electricity, and communications</w:t>
      </w:r>
      <w:r w:rsidRPr="009A011B">
        <w:t xml:space="preserve"> to</w:t>
      </w:r>
      <w:r w:rsidR="00DC1CFF">
        <w:t xml:space="preserve"> </w:t>
      </w:r>
      <w:r w:rsidR="00F509FB">
        <w:t>Lot 2</w:t>
      </w:r>
      <w:r w:rsidRPr="009A011B">
        <w:t xml:space="preserve"> </w:t>
      </w:r>
      <w:r w:rsidR="00545231">
        <w:t>and the buildings, structures, and improvements located thereon from time to time</w:t>
      </w:r>
      <w:r w:rsidR="00DC1CFF">
        <w:t xml:space="preserve"> </w:t>
      </w:r>
      <w:r w:rsidR="00F509FB">
        <w:t>(the “</w:t>
      </w:r>
      <w:r w:rsidR="00F509FB" w:rsidRPr="00F509FB">
        <w:rPr>
          <w:u w:val="single"/>
        </w:rPr>
        <w:t>Lot 2 Utilit</w:t>
      </w:r>
      <w:r w:rsidR="00DC1CFF">
        <w:rPr>
          <w:u w:val="single"/>
        </w:rPr>
        <w:t>ies</w:t>
      </w:r>
      <w:r w:rsidR="00F509FB">
        <w:t>”)</w:t>
      </w:r>
      <w:r w:rsidRPr="009A011B">
        <w:t xml:space="preserve">, within the </w:t>
      </w:r>
      <w:r w:rsidR="00F509FB">
        <w:t>Lot 1 Easement Area</w:t>
      </w:r>
      <w:r w:rsidRPr="009A011B">
        <w:t>, including, without limitation, the non-exclusive</w:t>
      </w:r>
      <w:r w:rsidR="00DC1CFF">
        <w:t>, perpetual</w:t>
      </w:r>
      <w:r w:rsidRPr="009A011B">
        <w:t xml:space="preserve"> right and easement to pass and repass over, across, and upon the </w:t>
      </w:r>
      <w:r w:rsidR="00F509FB">
        <w:t>Lot 1 Easement</w:t>
      </w:r>
      <w:r w:rsidRPr="009A011B">
        <w:t xml:space="preserve"> Area to </w:t>
      </w:r>
      <w:r w:rsidR="00F509FB">
        <w:t>construct, install</w:t>
      </w:r>
      <w:r w:rsidRPr="009A011B">
        <w:t xml:space="preserve">, </w:t>
      </w:r>
      <w:r w:rsidR="00F509FB">
        <w:t>inspect, repair</w:t>
      </w:r>
      <w:r w:rsidRPr="009A011B">
        <w:t>, rep</w:t>
      </w:r>
      <w:r w:rsidR="00F509FB">
        <w:t>lace</w:t>
      </w:r>
      <w:r w:rsidRPr="009A011B">
        <w:t xml:space="preserve">, remove, </w:t>
      </w:r>
      <w:r w:rsidR="00F509FB">
        <w:t xml:space="preserve">reconstruct, </w:t>
      </w:r>
      <w:r w:rsidRPr="009A011B">
        <w:t>maintain, operate</w:t>
      </w:r>
      <w:r w:rsidR="00F509FB">
        <w:t>,</w:t>
      </w:r>
      <w:r w:rsidRPr="009A011B">
        <w:t xml:space="preserve"> and otherwise service the </w:t>
      </w:r>
      <w:r w:rsidR="00F509FB">
        <w:t>Lot 2</w:t>
      </w:r>
      <w:r w:rsidR="00DC1CFF">
        <w:t xml:space="preserve"> Utilities </w:t>
      </w:r>
      <w:r w:rsidRPr="009A011B">
        <w:t>and to make such excavations</w:t>
      </w:r>
      <w:r w:rsidR="00DC1CFF">
        <w:t xml:space="preserve"> within the Lot 1 Easement Area </w:t>
      </w:r>
      <w:r w:rsidRPr="009A011B">
        <w:t>as m</w:t>
      </w:r>
      <w:r w:rsidR="00F509FB">
        <w:t>a</w:t>
      </w:r>
      <w:r w:rsidRPr="009A011B">
        <w:t>y be reasonably necessary for such purposes</w:t>
      </w:r>
      <w:r w:rsidR="00F509FB">
        <w:t>.</w:t>
      </w:r>
      <w:r w:rsidR="004104FC">
        <w:t xml:space="preserve">  The Lot 2 Utilit</w:t>
      </w:r>
      <w:r w:rsidR="00DC1CFF">
        <w:t>ies</w:t>
      </w:r>
      <w:r w:rsidR="004104FC">
        <w:t>, including all appurtenances and equipment relating thereto, shall be located entirely below the surface of the ground.</w:t>
      </w:r>
    </w:p>
    <w:p w:rsidR="007C47AB" w:rsidRDefault="007C47AB" w:rsidP="007C47AB">
      <w:pPr>
        <w:pStyle w:val="Heading2"/>
      </w:pPr>
      <w:r>
        <w:rPr>
          <w:u w:val="single"/>
        </w:rPr>
        <w:t>Drainage Easement</w:t>
      </w:r>
      <w:r w:rsidRPr="000175DA">
        <w:t>.</w:t>
      </w:r>
      <w:r>
        <w:t xml:space="preserve">  The</w:t>
      </w:r>
      <w:r w:rsidRPr="00B54A19">
        <w:t xml:space="preserve"> non-exclusive</w:t>
      </w:r>
      <w:r>
        <w:t xml:space="preserve">, perpetual right and </w:t>
      </w:r>
      <w:r w:rsidRPr="00B54A19">
        <w:t xml:space="preserve">easement </w:t>
      </w:r>
      <w:r w:rsidRPr="009A011B">
        <w:t xml:space="preserve">to </w:t>
      </w:r>
      <w:r>
        <w:t xml:space="preserve">construct, install, </w:t>
      </w:r>
      <w:r w:rsidRPr="009A011B">
        <w:t xml:space="preserve">inspect, repair, replace, reconstruct, maintain and operate for its own purposes </w:t>
      </w:r>
      <w:r>
        <w:t xml:space="preserve">drainage pipes and lines </w:t>
      </w:r>
      <w:r w:rsidR="00DC1CFF">
        <w:t>(the “</w:t>
      </w:r>
      <w:r w:rsidR="00DC1CFF">
        <w:rPr>
          <w:u w:val="single"/>
        </w:rPr>
        <w:t xml:space="preserve">Lot 2 </w:t>
      </w:r>
      <w:r w:rsidR="00DC1CFF" w:rsidRPr="000175DA">
        <w:rPr>
          <w:u w:val="single"/>
        </w:rPr>
        <w:t>Drainage Facilities</w:t>
      </w:r>
      <w:r w:rsidR="00DC1CFF">
        <w:t xml:space="preserve">”) </w:t>
      </w:r>
      <w:r>
        <w:t xml:space="preserve">within the Lot 1 Easement Area for the </w:t>
      </w:r>
      <w:r w:rsidRPr="00B54A19">
        <w:t xml:space="preserve">conveyance of storm, flood and surface waters from </w:t>
      </w:r>
      <w:r>
        <w:t>Lot 2</w:t>
      </w:r>
      <w:r w:rsidR="00AB528E">
        <w:t xml:space="preserve"> to the drainage facilities located within the Easement Area</w:t>
      </w:r>
      <w:r>
        <w:t xml:space="preserve">, </w:t>
      </w:r>
      <w:r w:rsidR="00DC1CFF">
        <w:t>and</w:t>
      </w:r>
      <w:r w:rsidRPr="009A011B">
        <w:t xml:space="preserve"> the non-exclusive</w:t>
      </w:r>
      <w:r w:rsidR="00DC1CFF">
        <w:t>, perpetual</w:t>
      </w:r>
      <w:r w:rsidRPr="009A011B">
        <w:t xml:space="preserve"> right and easement to pass and repass over, across, and upon the </w:t>
      </w:r>
      <w:r>
        <w:t>Lot 1 Easement</w:t>
      </w:r>
      <w:r w:rsidRPr="009A011B">
        <w:t xml:space="preserve"> Area to </w:t>
      </w:r>
      <w:r>
        <w:t>construct, install</w:t>
      </w:r>
      <w:r w:rsidRPr="009A011B">
        <w:t xml:space="preserve">, </w:t>
      </w:r>
      <w:r>
        <w:t>inspect, repair</w:t>
      </w:r>
      <w:r w:rsidRPr="009A011B">
        <w:t>, rep</w:t>
      </w:r>
      <w:r>
        <w:t>lace</w:t>
      </w:r>
      <w:r w:rsidRPr="009A011B">
        <w:t xml:space="preserve">, remove, </w:t>
      </w:r>
      <w:r>
        <w:t xml:space="preserve">reconstruct, </w:t>
      </w:r>
      <w:r w:rsidRPr="009A011B">
        <w:t>maintain, operate</w:t>
      </w:r>
      <w:r>
        <w:t>,</w:t>
      </w:r>
      <w:r w:rsidRPr="009A011B">
        <w:t xml:space="preserve"> and otherwise service the </w:t>
      </w:r>
      <w:r>
        <w:t xml:space="preserve">Lot </w:t>
      </w:r>
      <w:r w:rsidR="00DC1CFF">
        <w:t>2</w:t>
      </w:r>
      <w:r>
        <w:t xml:space="preserve"> Drainage Facilities</w:t>
      </w:r>
      <w:r w:rsidRPr="009A011B">
        <w:t xml:space="preserve"> and to make such excavations </w:t>
      </w:r>
      <w:r w:rsidR="00DC1CFF">
        <w:t xml:space="preserve">within the Lot 1 Easement Area </w:t>
      </w:r>
      <w:r w:rsidRPr="009A011B">
        <w:t>as m</w:t>
      </w:r>
      <w:r>
        <w:t>a</w:t>
      </w:r>
      <w:r w:rsidRPr="009A011B">
        <w:t>y be reasonably necessary for such purposes</w:t>
      </w:r>
      <w:r>
        <w:t>.</w:t>
      </w:r>
      <w:r w:rsidR="00DC1CFF">
        <w:t xml:space="preserve">  The Lot 2 Drainage Facilities, including all appurtenances and equipment relating thereto, shall be located entirely below the surface of the ground.</w:t>
      </w:r>
    </w:p>
    <w:p w:rsidR="0011204E" w:rsidRDefault="0011204E" w:rsidP="0011204E">
      <w:pPr>
        <w:pStyle w:val="Heading1"/>
      </w:pPr>
      <w:r w:rsidRPr="0011204E">
        <w:rPr>
          <w:u w:val="single"/>
        </w:rPr>
        <w:t xml:space="preserve">Reserved Rights of Portland </w:t>
      </w:r>
      <w:r>
        <w:rPr>
          <w:u w:val="single"/>
        </w:rPr>
        <w:t>Norwich</w:t>
      </w:r>
      <w:r>
        <w:t>.  Portland Norwich reserves all rights over, under, above, and in connection with, Lot 1, including without limitation the right to use, or to grant to others the right to use, the surface and subsurface of, and the air space above, the Lot 1 Easement Area, to the extent not inconsistent with the provisions of this Agreement</w:t>
      </w:r>
      <w:r w:rsidR="00E57455">
        <w:t xml:space="preserve"> and otherwise in compliance with the Site Plan Approval and all applicable laws</w:t>
      </w:r>
      <w:r>
        <w:t xml:space="preserve">.  Portland Norwich covenants and agrees that it shall not use, or allow any other person or entity to use, the Lot 1 Easement Area in any way that would unreasonably interfere with the rights of Portland Acquisition created under this Agreement. </w:t>
      </w:r>
    </w:p>
    <w:p w:rsidR="00EE14C2" w:rsidRDefault="00585C4C" w:rsidP="005E6CCC">
      <w:pPr>
        <w:pStyle w:val="Heading1"/>
      </w:pPr>
      <w:r w:rsidRPr="00585C4C">
        <w:rPr>
          <w:u w:val="single"/>
        </w:rPr>
        <w:t xml:space="preserve">Grant by </w:t>
      </w:r>
      <w:r w:rsidR="000F028B">
        <w:rPr>
          <w:u w:val="single"/>
        </w:rPr>
        <w:t>Portland Acquisition to Portland Norwich</w:t>
      </w:r>
      <w:r w:rsidRPr="00585C4C">
        <w:t xml:space="preserve">. </w:t>
      </w:r>
      <w:r w:rsidR="00FF5721">
        <w:t xml:space="preserve"> </w:t>
      </w:r>
      <w:r w:rsidR="00DC1CFF">
        <w:t>Portland Acquisition</w:t>
      </w:r>
      <w:r w:rsidR="00DC1CFF" w:rsidRPr="00C63AF0">
        <w:t xml:space="preserve"> hereby grants and conveys to </w:t>
      </w:r>
      <w:r w:rsidR="00DC1CFF">
        <w:t xml:space="preserve">Portland Norwich, </w:t>
      </w:r>
      <w:r w:rsidR="00DC1CFF" w:rsidRPr="009A011B">
        <w:t xml:space="preserve">as appurtenant to </w:t>
      </w:r>
      <w:r w:rsidR="00DC1CFF">
        <w:t>Lot 1 and any portion thereof, in common with others entitled thereto</w:t>
      </w:r>
      <w:r w:rsidR="00DC1CFF" w:rsidRPr="009A011B">
        <w:t>, for the purposes set forth herein, and subject to the terms a</w:t>
      </w:r>
      <w:r w:rsidR="00DC1CFF">
        <w:t>nd conditions set forth herein</w:t>
      </w:r>
      <w:r w:rsidR="00DC1CFF" w:rsidRPr="00C63AF0">
        <w:t xml:space="preserve">, </w:t>
      </w:r>
      <w:r w:rsidR="00DC1CFF">
        <w:t>the following rights and easements</w:t>
      </w:r>
      <w:r w:rsidR="00EE14C2">
        <w:t>:</w:t>
      </w:r>
    </w:p>
    <w:p w:rsidR="00EA716E" w:rsidRDefault="00EA716E" w:rsidP="00516B49">
      <w:pPr>
        <w:pStyle w:val="Heading2"/>
        <w:numPr>
          <w:ilvl w:val="0"/>
          <w:numId w:val="0"/>
        </w:numPr>
      </w:pPr>
      <w:r>
        <w:t xml:space="preserve">                         (a)  </w:t>
      </w:r>
      <w:r w:rsidR="00EE14C2" w:rsidRPr="00EA716E">
        <w:rPr>
          <w:u w:val="single"/>
        </w:rPr>
        <w:t>Access Easement</w:t>
      </w:r>
      <w:r w:rsidR="00EE14C2">
        <w:t xml:space="preserve">.  </w:t>
      </w:r>
      <w:r w:rsidR="00DC1CFF">
        <w:t>The</w:t>
      </w:r>
      <w:r w:rsidR="00DC1CFF" w:rsidRPr="00C63AF0">
        <w:t xml:space="preserve"> non-exclusive</w:t>
      </w:r>
      <w:r w:rsidR="00DC1CFF">
        <w:t>, perpetual</w:t>
      </w:r>
      <w:r w:rsidR="00DC1CFF" w:rsidRPr="00C63AF0">
        <w:t xml:space="preserve"> right and easement</w:t>
      </w:r>
      <w:r w:rsidR="00DC1CFF">
        <w:t xml:space="preserve"> for pedestrian and vehicular ingress, egress and passage to Lot 1 upon, over, and across the Lot 2 Easement Area, and the </w:t>
      </w:r>
      <w:r w:rsidR="00212EF4">
        <w:t xml:space="preserve">non-exclusive, </w:t>
      </w:r>
      <w:r w:rsidR="00DC1CFF">
        <w:t xml:space="preserve">perpetual right and </w:t>
      </w:r>
      <w:r w:rsidR="00212EF4">
        <w:t xml:space="preserve">easement over and across </w:t>
      </w:r>
      <w:r w:rsidR="00764723">
        <w:t>the Lot 2 Easement Area</w:t>
      </w:r>
      <w:r w:rsidR="00212EF4">
        <w:t xml:space="preserve"> to construct, install, maintain, repair, and replace the </w:t>
      </w:r>
      <w:r w:rsidR="009B211D">
        <w:t>Easement Area.</w:t>
      </w:r>
    </w:p>
    <w:p w:rsidR="00B54A19" w:rsidRDefault="00EA716E" w:rsidP="00516B49">
      <w:pPr>
        <w:pStyle w:val="Heading2"/>
        <w:numPr>
          <w:ilvl w:val="0"/>
          <w:numId w:val="0"/>
        </w:numPr>
      </w:pPr>
      <w:r>
        <w:lastRenderedPageBreak/>
        <w:t xml:space="preserve">                          (b)  </w:t>
      </w:r>
      <w:r w:rsidR="0011204E">
        <w:t>.</w:t>
      </w:r>
      <w:r w:rsidR="00B54A19" w:rsidRPr="00EA716E">
        <w:rPr>
          <w:u w:val="single"/>
        </w:rPr>
        <w:t>Utility Easement</w:t>
      </w:r>
      <w:r w:rsidR="00B54A19" w:rsidRPr="00B54A19">
        <w:t>.</w:t>
      </w:r>
      <w:r w:rsidR="00B54A19">
        <w:t xml:space="preserve">  </w:t>
      </w:r>
      <w:r w:rsidR="00764723">
        <w:t>T</w:t>
      </w:r>
      <w:r w:rsidR="00764723" w:rsidRPr="009A011B">
        <w:t xml:space="preserve">he non-exclusive, perpetual right and easement to </w:t>
      </w:r>
      <w:r w:rsidR="00764723">
        <w:t xml:space="preserve">construct, install, </w:t>
      </w:r>
      <w:r w:rsidR="00764723" w:rsidRPr="009A011B">
        <w:t xml:space="preserve">inspect, repair, replace, reconstruct, maintain and operate for its own purposes underground </w:t>
      </w:r>
      <w:r w:rsidR="00764723">
        <w:t>utility</w:t>
      </w:r>
      <w:r w:rsidR="00764723" w:rsidRPr="009A011B">
        <w:t xml:space="preserve"> line</w:t>
      </w:r>
      <w:r w:rsidR="00764723">
        <w:t xml:space="preserve">s, and appurtenances and equipment relating thereto, </w:t>
      </w:r>
      <w:r w:rsidR="00764723" w:rsidRPr="009A011B">
        <w:t xml:space="preserve">for the transmission of </w:t>
      </w:r>
      <w:r w:rsidR="00764723">
        <w:t>natural gas, water, sewer, electricity, and communications</w:t>
      </w:r>
      <w:r w:rsidR="00764723" w:rsidRPr="009A011B">
        <w:t xml:space="preserve"> to</w:t>
      </w:r>
      <w:r w:rsidR="00764723">
        <w:t xml:space="preserve"> Lot 1</w:t>
      </w:r>
      <w:r w:rsidR="00764723" w:rsidRPr="009A011B">
        <w:t xml:space="preserve"> </w:t>
      </w:r>
      <w:r w:rsidR="00764723">
        <w:t>and the buildings, structures, and improvements located thereon from time to time (the “</w:t>
      </w:r>
      <w:r w:rsidR="00764723" w:rsidRPr="00EA716E">
        <w:rPr>
          <w:u w:val="single"/>
        </w:rPr>
        <w:t>Lot 1 Utilities</w:t>
      </w:r>
      <w:r w:rsidR="00764723">
        <w:t>”)</w:t>
      </w:r>
      <w:r w:rsidR="00764723" w:rsidRPr="009A011B">
        <w:t xml:space="preserve">, within the </w:t>
      </w:r>
      <w:r w:rsidR="00764723">
        <w:t>Lot 2 Easement Area</w:t>
      </w:r>
      <w:r w:rsidR="00764723" w:rsidRPr="009A011B">
        <w:t>, including, without limitation, the non-exclusive</w:t>
      </w:r>
      <w:r w:rsidR="00764723">
        <w:t>, perpetual</w:t>
      </w:r>
      <w:r w:rsidR="00764723" w:rsidRPr="009A011B">
        <w:t xml:space="preserve"> right and easement to pass and repass over, across, and upon the </w:t>
      </w:r>
      <w:r w:rsidR="00764723">
        <w:t>Lot 2 Easement</w:t>
      </w:r>
      <w:r w:rsidR="00764723" w:rsidRPr="009A011B">
        <w:t xml:space="preserve"> Area to </w:t>
      </w:r>
      <w:r w:rsidR="00764723">
        <w:t>construct, install</w:t>
      </w:r>
      <w:r w:rsidR="00764723" w:rsidRPr="009A011B">
        <w:t xml:space="preserve">, </w:t>
      </w:r>
      <w:r w:rsidR="00764723">
        <w:t>inspect, repair</w:t>
      </w:r>
      <w:r w:rsidR="00764723" w:rsidRPr="009A011B">
        <w:t>, rep</w:t>
      </w:r>
      <w:r w:rsidR="00764723">
        <w:t>lace</w:t>
      </w:r>
      <w:r w:rsidR="00764723" w:rsidRPr="009A011B">
        <w:t xml:space="preserve">, remove, </w:t>
      </w:r>
      <w:r w:rsidR="00764723">
        <w:t xml:space="preserve">reconstruct, </w:t>
      </w:r>
      <w:r w:rsidR="00764723" w:rsidRPr="009A011B">
        <w:t>maintain, operate</w:t>
      </w:r>
      <w:r w:rsidR="00764723">
        <w:t>,</w:t>
      </w:r>
      <w:r w:rsidR="00764723" w:rsidRPr="009A011B">
        <w:t xml:space="preserve"> and otherwise service the </w:t>
      </w:r>
      <w:r w:rsidR="00764723">
        <w:t xml:space="preserve">Lot 1 Utilities </w:t>
      </w:r>
      <w:r w:rsidR="00764723" w:rsidRPr="009A011B">
        <w:t>and to make such excavations</w:t>
      </w:r>
      <w:r w:rsidR="00764723">
        <w:t xml:space="preserve"> within the Lot 2 Easement Area </w:t>
      </w:r>
      <w:r w:rsidR="00764723" w:rsidRPr="009A011B">
        <w:t>as m</w:t>
      </w:r>
      <w:r w:rsidR="00764723">
        <w:t>a</w:t>
      </w:r>
      <w:r w:rsidR="00764723" w:rsidRPr="009A011B">
        <w:t>y be reasonably necessary for such purposes</w:t>
      </w:r>
      <w:r w:rsidR="00764723">
        <w:t>.  The Lot 1 Utilities, including all appurtenances and equipment relating thereto, shall be located entirely below the surface of the ground</w:t>
      </w:r>
      <w:r w:rsidR="00B54A19">
        <w:t>.</w:t>
      </w:r>
    </w:p>
    <w:p w:rsidR="00B54A19" w:rsidRDefault="00EA716E" w:rsidP="00EA716E">
      <w:pPr>
        <w:pStyle w:val="Heading2"/>
        <w:numPr>
          <w:ilvl w:val="0"/>
          <w:numId w:val="0"/>
        </w:numPr>
        <w:ind w:firstLine="1440"/>
      </w:pPr>
      <w:r>
        <w:rPr>
          <w:u w:val="single"/>
        </w:rPr>
        <w:t xml:space="preserve">(c)  </w:t>
      </w:r>
      <w:r w:rsidR="000175DA">
        <w:rPr>
          <w:u w:val="single"/>
        </w:rPr>
        <w:t>Drainage Easement</w:t>
      </w:r>
      <w:r w:rsidR="000175DA" w:rsidRPr="000175DA">
        <w:t>.</w:t>
      </w:r>
      <w:r w:rsidR="000175DA">
        <w:t xml:space="preserve">  </w:t>
      </w:r>
      <w:r w:rsidR="00764723">
        <w:t>The</w:t>
      </w:r>
      <w:r w:rsidR="00764723" w:rsidRPr="00B54A19">
        <w:t xml:space="preserve"> non-exclusive</w:t>
      </w:r>
      <w:r w:rsidR="00764723">
        <w:t xml:space="preserve">, perpetual right and </w:t>
      </w:r>
      <w:r w:rsidR="00764723" w:rsidRPr="00B54A19">
        <w:t xml:space="preserve">easement </w:t>
      </w:r>
      <w:r w:rsidR="00764723" w:rsidRPr="009A011B">
        <w:t xml:space="preserve">to </w:t>
      </w:r>
      <w:r w:rsidR="00764723">
        <w:t xml:space="preserve">construct, install, </w:t>
      </w:r>
      <w:r w:rsidR="00764723" w:rsidRPr="009A011B">
        <w:t xml:space="preserve">inspect, repair, replace, reconstruct, maintain and operate for its own purposes </w:t>
      </w:r>
      <w:r w:rsidR="00764723">
        <w:t>drainage pipes and lines (the “</w:t>
      </w:r>
      <w:r w:rsidR="00764723">
        <w:rPr>
          <w:u w:val="single"/>
        </w:rPr>
        <w:t xml:space="preserve">Lot 1 </w:t>
      </w:r>
      <w:r w:rsidR="00764723" w:rsidRPr="000175DA">
        <w:rPr>
          <w:u w:val="single"/>
        </w:rPr>
        <w:t>Drainage Facilities</w:t>
      </w:r>
      <w:r w:rsidR="00764723">
        <w:t xml:space="preserve">”) within the Lot 2 Easement Area for the </w:t>
      </w:r>
      <w:r w:rsidR="00764723" w:rsidRPr="00B54A19">
        <w:t xml:space="preserve">conveyance of storm, flood and surface waters from </w:t>
      </w:r>
      <w:r w:rsidR="00764723">
        <w:t>Lot 1</w:t>
      </w:r>
      <w:r w:rsidR="00764723" w:rsidRPr="00B54A19">
        <w:t xml:space="preserve"> to</w:t>
      </w:r>
      <w:r w:rsidR="00764723">
        <w:t xml:space="preserve"> </w:t>
      </w:r>
      <w:r w:rsidR="00AB528E">
        <w:t>the drainage facilities located within the Easement Area</w:t>
      </w:r>
      <w:r w:rsidR="00764723">
        <w:t>, and</w:t>
      </w:r>
      <w:r w:rsidR="00764723" w:rsidRPr="009A011B">
        <w:t xml:space="preserve"> the non-exclusive</w:t>
      </w:r>
      <w:r w:rsidR="00764723">
        <w:t>, perpetual</w:t>
      </w:r>
      <w:r w:rsidR="00764723" w:rsidRPr="009A011B">
        <w:t xml:space="preserve"> right and easement to pass and repass over, across, and upon the </w:t>
      </w:r>
      <w:r w:rsidR="00764723">
        <w:t>Lot 2 Easement</w:t>
      </w:r>
      <w:r w:rsidR="00764723" w:rsidRPr="009A011B">
        <w:t xml:space="preserve"> Area to </w:t>
      </w:r>
      <w:r w:rsidR="00764723">
        <w:t>construct, install</w:t>
      </w:r>
      <w:r w:rsidR="00764723" w:rsidRPr="009A011B">
        <w:t xml:space="preserve">, </w:t>
      </w:r>
      <w:r w:rsidR="00764723">
        <w:t>inspect, repair</w:t>
      </w:r>
      <w:r w:rsidR="00764723" w:rsidRPr="009A011B">
        <w:t>, rep</w:t>
      </w:r>
      <w:r w:rsidR="00764723">
        <w:t>lace</w:t>
      </w:r>
      <w:r w:rsidR="00764723" w:rsidRPr="009A011B">
        <w:t xml:space="preserve">, remove, </w:t>
      </w:r>
      <w:r w:rsidR="00764723">
        <w:t xml:space="preserve">reconstruct, </w:t>
      </w:r>
      <w:r w:rsidR="00764723" w:rsidRPr="009A011B">
        <w:t>maintain, operate</w:t>
      </w:r>
      <w:r w:rsidR="00764723">
        <w:t>,</w:t>
      </w:r>
      <w:r w:rsidR="00764723" w:rsidRPr="009A011B">
        <w:t xml:space="preserve"> and otherwise service the </w:t>
      </w:r>
      <w:r w:rsidR="00764723">
        <w:t>Lot 1 Drainage Facilities</w:t>
      </w:r>
      <w:r w:rsidR="00764723" w:rsidRPr="009A011B">
        <w:t xml:space="preserve"> and to make such excavations </w:t>
      </w:r>
      <w:r w:rsidR="00764723">
        <w:t xml:space="preserve">within the Lot 2 Easement Area </w:t>
      </w:r>
      <w:r w:rsidR="00764723" w:rsidRPr="009A011B">
        <w:t>as m</w:t>
      </w:r>
      <w:r w:rsidR="00764723">
        <w:t>a</w:t>
      </w:r>
      <w:r w:rsidR="00764723" w:rsidRPr="009A011B">
        <w:t>y be reasonably necessary for such purposes</w:t>
      </w:r>
      <w:r w:rsidR="00764723">
        <w:t>.  The Lot 1 Drainage Facilities, including all appurtenances and equipment relating thereto, shall be located entirely below the surface of the ground</w:t>
      </w:r>
      <w:r w:rsidR="00212EF4">
        <w:t>.</w:t>
      </w:r>
    </w:p>
    <w:p w:rsidR="00764723" w:rsidRDefault="00764723" w:rsidP="00764723">
      <w:pPr>
        <w:pStyle w:val="Heading1"/>
      </w:pPr>
      <w:r w:rsidRPr="00764723">
        <w:rPr>
          <w:u w:val="single"/>
        </w:rPr>
        <w:t>Reserv</w:t>
      </w:r>
      <w:r w:rsidR="0011204E">
        <w:rPr>
          <w:u w:val="single"/>
        </w:rPr>
        <w:t>ed Rights of Portland Acquisition</w:t>
      </w:r>
      <w:r>
        <w:t xml:space="preserve">.  </w:t>
      </w:r>
      <w:r w:rsidR="0011204E">
        <w:t>Portland Acquisition reserves all rights over, under, above, and in connection with, Lot 2, including without limitation the right to use, or to grant to others the right to use, the surface and subsurface of, and the air space above, the Lot 2 Easement Area, to the extent not inconsistent with the provisions of this Agreement</w:t>
      </w:r>
      <w:r w:rsidR="00AB528E">
        <w:t xml:space="preserve"> and otherwise in compliance with the provisions of the Site Plan Approval and all applicable laws</w:t>
      </w:r>
      <w:r w:rsidR="0011204E">
        <w:t xml:space="preserve">.  Portland Acquisition </w:t>
      </w:r>
      <w:r>
        <w:t xml:space="preserve">covenants and agrees that it shall not use, or allow any other person or entity to use, </w:t>
      </w:r>
      <w:r w:rsidR="0011204E">
        <w:t>the Lot 2 Easement Area</w:t>
      </w:r>
      <w:r>
        <w:t xml:space="preserve"> in any way that would unreasonably interfere with the rights of </w:t>
      </w:r>
      <w:r w:rsidR="0011204E">
        <w:t>Portland Norwich</w:t>
      </w:r>
      <w:r>
        <w:t xml:space="preserve"> created under this Agreement</w:t>
      </w:r>
      <w:r w:rsidR="0011204E">
        <w:t>.</w:t>
      </w:r>
    </w:p>
    <w:p w:rsidR="00137C70" w:rsidRDefault="004104FC" w:rsidP="00137C70">
      <w:pPr>
        <w:pStyle w:val="Heading1"/>
        <w:tabs>
          <w:tab w:val="clear" w:pos="1440"/>
        </w:tabs>
      </w:pPr>
      <w:r w:rsidRPr="000175DA">
        <w:rPr>
          <w:u w:val="single"/>
        </w:rPr>
        <w:t>Conditions to Grants of Easements</w:t>
      </w:r>
      <w:r>
        <w:t xml:space="preserve">.  </w:t>
      </w:r>
      <w:r w:rsidR="00137C70">
        <w:t xml:space="preserve"> </w:t>
      </w:r>
      <w:r>
        <w:t>A Party</w:t>
      </w:r>
      <w:r w:rsidR="00093043">
        <w:t xml:space="preserve"> (the “</w:t>
      </w:r>
      <w:r w:rsidR="00093043" w:rsidRPr="00137C70">
        <w:rPr>
          <w:u w:val="single"/>
        </w:rPr>
        <w:t>Accessing Party</w:t>
      </w:r>
      <w:r w:rsidR="00093043">
        <w:t xml:space="preserve">”) exercising its right to access the </w:t>
      </w:r>
      <w:r w:rsidR="000175DA">
        <w:t xml:space="preserve">property of the other Party </w:t>
      </w:r>
      <w:r w:rsidR="00093043">
        <w:t>(the “</w:t>
      </w:r>
      <w:r w:rsidR="00764723" w:rsidRPr="00137C70">
        <w:rPr>
          <w:u w:val="single"/>
        </w:rPr>
        <w:t>Burdened Property</w:t>
      </w:r>
      <w:r w:rsidR="00093043">
        <w:t xml:space="preserve">”) </w:t>
      </w:r>
      <w:r w:rsidR="00137C70">
        <w:t xml:space="preserve">to perform any work or other activity </w:t>
      </w:r>
      <w:r>
        <w:t xml:space="preserve">under this Agreement </w:t>
      </w:r>
      <w:r w:rsidRPr="004104FC">
        <w:t xml:space="preserve">shall be obligated to comply with the requirements set forth in this Section </w:t>
      </w:r>
      <w:r w:rsidR="00137C70">
        <w:t xml:space="preserve">5 </w:t>
      </w:r>
      <w:r w:rsidRPr="004104FC">
        <w:t xml:space="preserve">relating to any access by the </w:t>
      </w:r>
      <w:r w:rsidR="00093043">
        <w:t>Accessing Party</w:t>
      </w:r>
      <w:r w:rsidRPr="004104FC">
        <w:t xml:space="preserve"> or its authorized personnel to any </w:t>
      </w:r>
      <w:r w:rsidR="00093043">
        <w:t xml:space="preserve">portion </w:t>
      </w:r>
      <w:r w:rsidRPr="004104FC">
        <w:t xml:space="preserve">of the </w:t>
      </w:r>
      <w:r w:rsidR="00093043">
        <w:t>E</w:t>
      </w:r>
      <w:r w:rsidRPr="004104FC">
        <w:t xml:space="preserve">asement </w:t>
      </w:r>
      <w:r w:rsidR="00093043">
        <w:t xml:space="preserve">Area located on the </w:t>
      </w:r>
      <w:r w:rsidR="00764723">
        <w:t>Burdened Property</w:t>
      </w:r>
      <w:r w:rsidR="00093043">
        <w:t xml:space="preserve"> (the “</w:t>
      </w:r>
      <w:r w:rsidR="00764723" w:rsidRPr="00137C70">
        <w:rPr>
          <w:u w:val="single"/>
        </w:rPr>
        <w:t>Burdened Property</w:t>
      </w:r>
      <w:r w:rsidR="00093043" w:rsidRPr="00137C70">
        <w:rPr>
          <w:u w:val="single"/>
        </w:rPr>
        <w:t xml:space="preserve"> Easement Area</w:t>
      </w:r>
      <w:r w:rsidR="00093043">
        <w:t>”)</w:t>
      </w:r>
      <w:r w:rsidR="00137C70">
        <w:t xml:space="preserve">. </w:t>
      </w:r>
    </w:p>
    <w:p w:rsidR="00137C70" w:rsidRDefault="004104FC" w:rsidP="00137C70">
      <w:pPr>
        <w:pStyle w:val="Heading3"/>
        <w:tabs>
          <w:tab w:val="clear" w:pos="2880"/>
          <w:tab w:val="left" w:pos="2160"/>
        </w:tabs>
        <w:ind w:firstLine="1440"/>
      </w:pPr>
      <w:r w:rsidRPr="004104FC">
        <w:t xml:space="preserve">The </w:t>
      </w:r>
      <w:r w:rsidR="00093043">
        <w:t xml:space="preserve">Accessing Party </w:t>
      </w:r>
      <w:r w:rsidRPr="004104FC">
        <w:t xml:space="preserve">and/or its authorized personnel shall (a) provide not less than five (5) business days’ prior written notice to </w:t>
      </w:r>
      <w:r w:rsidR="00093043">
        <w:t xml:space="preserve">the </w:t>
      </w:r>
      <w:r w:rsidR="00764723">
        <w:t>owner of the Burdened Property</w:t>
      </w:r>
      <w:r w:rsidRPr="004104FC">
        <w:t xml:space="preserve"> of any proposed entry onto any </w:t>
      </w:r>
      <w:r w:rsidR="00093043">
        <w:t xml:space="preserve">portion </w:t>
      </w:r>
      <w:r w:rsidRPr="004104FC">
        <w:t xml:space="preserve">of the </w:t>
      </w:r>
      <w:r w:rsidR="00137C70">
        <w:t>Burdened Property</w:t>
      </w:r>
      <w:r w:rsidR="00093043">
        <w:t xml:space="preserve"> </w:t>
      </w:r>
      <w:r w:rsidRPr="004104FC">
        <w:t xml:space="preserve">Easement Area, which notice shall contain a description of the work to be performed therein, the names of the </w:t>
      </w:r>
      <w:r w:rsidR="00093043">
        <w:t>Accessing Party</w:t>
      </w:r>
      <w:r w:rsidRPr="004104FC">
        <w:t xml:space="preserve">’s authorized personnel who will access the </w:t>
      </w:r>
      <w:r w:rsidR="00764723">
        <w:t xml:space="preserve">Burdened Property </w:t>
      </w:r>
      <w:r w:rsidR="00093043" w:rsidRPr="004104FC">
        <w:t>Easement Area</w:t>
      </w:r>
      <w:r w:rsidRPr="004104FC">
        <w:t xml:space="preserve">, and how long such personnel are expected to be working within the </w:t>
      </w:r>
      <w:r w:rsidR="00764723">
        <w:t>Burdened Property</w:t>
      </w:r>
      <w:r w:rsidR="00093043">
        <w:t xml:space="preserve"> </w:t>
      </w:r>
      <w:r w:rsidR="00093043" w:rsidRPr="004104FC">
        <w:t>Easement Area</w:t>
      </w:r>
      <w:r w:rsidRPr="004104FC">
        <w:t xml:space="preserve">, and (b) deliver to the </w:t>
      </w:r>
      <w:r w:rsidR="00764723">
        <w:t>owner of the Burdened Property</w:t>
      </w:r>
      <w:r w:rsidRPr="004104FC">
        <w:t xml:space="preserve"> a certificate of insurance evidencing that the </w:t>
      </w:r>
      <w:r w:rsidR="00093043">
        <w:t>Accessing Party</w:t>
      </w:r>
      <w:r w:rsidRPr="004104FC">
        <w:t xml:space="preserve"> has obtained the insurance required to be carried by the </w:t>
      </w:r>
      <w:r w:rsidR="00093043">
        <w:t>Accessing Party</w:t>
      </w:r>
      <w:r w:rsidRPr="004104FC">
        <w:t xml:space="preserve"> under Section</w:t>
      </w:r>
      <w:r w:rsidR="00093043">
        <w:t xml:space="preserve"> </w:t>
      </w:r>
      <w:r w:rsidR="0011204E">
        <w:t>8</w:t>
      </w:r>
      <w:r w:rsidRPr="004104FC">
        <w:t xml:space="preserve"> </w:t>
      </w:r>
      <w:r w:rsidRPr="004104FC">
        <w:lastRenderedPageBreak/>
        <w:t xml:space="preserve">hereof.  Except in the event of an emergency, all access to the </w:t>
      </w:r>
      <w:r w:rsidR="00764723">
        <w:t xml:space="preserve">Burdened Property </w:t>
      </w:r>
      <w:r w:rsidR="00093043" w:rsidRPr="004104FC">
        <w:t xml:space="preserve">Easement Area </w:t>
      </w:r>
      <w:r w:rsidRPr="004104FC">
        <w:t xml:space="preserve">by the </w:t>
      </w:r>
      <w:r w:rsidR="00093043">
        <w:t>Accessing Party</w:t>
      </w:r>
      <w:r w:rsidRPr="004104FC">
        <w:t xml:space="preserve"> and/or its authorized personnel shall be limited to weekdays between the ho</w:t>
      </w:r>
      <w:r w:rsidR="00AB528E">
        <w:t>urs of 7:00 a.m. and 7</w:t>
      </w:r>
      <w:r w:rsidR="00137C70">
        <w:t xml:space="preserve">:00 p.m. </w:t>
      </w:r>
    </w:p>
    <w:p w:rsidR="00137C70" w:rsidRDefault="004104FC" w:rsidP="00137C70">
      <w:pPr>
        <w:pStyle w:val="Heading3"/>
        <w:tabs>
          <w:tab w:val="clear" w:pos="2880"/>
          <w:tab w:val="left" w:pos="2160"/>
        </w:tabs>
        <w:ind w:firstLine="1440"/>
      </w:pPr>
      <w:r w:rsidRPr="004104FC">
        <w:t xml:space="preserve">Only authorized personnel may access the </w:t>
      </w:r>
      <w:r w:rsidR="00764723">
        <w:t xml:space="preserve">Burdened Property </w:t>
      </w:r>
      <w:r w:rsidR="00764723" w:rsidRPr="004104FC">
        <w:t xml:space="preserve">Easement Area </w:t>
      </w:r>
      <w:r w:rsidRPr="004104FC">
        <w:t xml:space="preserve">on behalf of the </w:t>
      </w:r>
      <w:r w:rsidR="00093043">
        <w:t>Accessing Party</w:t>
      </w:r>
      <w:r w:rsidRPr="004104FC">
        <w:t xml:space="preserve">.  For purposes of this Section </w:t>
      </w:r>
      <w:r w:rsidR="0011204E">
        <w:t>5</w:t>
      </w:r>
      <w:r w:rsidRPr="004104FC">
        <w:t xml:space="preserve">, “authorized personnel” shall mean only authorized employees, engineers, technicians, or properly authorized contractors of the </w:t>
      </w:r>
      <w:r w:rsidR="00093043">
        <w:t>Accessing Party</w:t>
      </w:r>
      <w:r w:rsidRPr="004104FC">
        <w:t xml:space="preserve"> or persons under their direct supervision each of whom at all times must possess on their person photo identification and documentation identifyi</w:t>
      </w:r>
      <w:r w:rsidR="00137C70">
        <w:t>ng their name and affiliation.</w:t>
      </w:r>
    </w:p>
    <w:p w:rsidR="00137C70" w:rsidRDefault="004104FC" w:rsidP="00137C70">
      <w:pPr>
        <w:pStyle w:val="Heading3"/>
        <w:tabs>
          <w:tab w:val="clear" w:pos="2880"/>
          <w:tab w:val="left" w:pos="2160"/>
        </w:tabs>
        <w:ind w:firstLine="1440"/>
      </w:pPr>
      <w:r w:rsidRPr="004104FC">
        <w:t xml:space="preserve">The </w:t>
      </w:r>
      <w:r w:rsidR="00093043">
        <w:t>Accessing Party</w:t>
      </w:r>
      <w:r w:rsidRPr="004104FC">
        <w:t xml:space="preserve"> shall take all reasonable measures to ensure that access to any </w:t>
      </w:r>
      <w:r w:rsidR="00093043">
        <w:t xml:space="preserve">portion </w:t>
      </w:r>
      <w:r w:rsidRPr="004104FC">
        <w:t xml:space="preserve">of the </w:t>
      </w:r>
      <w:r w:rsidR="00764723">
        <w:t xml:space="preserve">Burdened Property </w:t>
      </w:r>
      <w:r w:rsidR="00764723" w:rsidRPr="004104FC">
        <w:t>Easement Area</w:t>
      </w:r>
      <w:r w:rsidR="00093043" w:rsidRPr="004104FC">
        <w:t xml:space="preserve"> </w:t>
      </w:r>
      <w:r w:rsidRPr="004104FC">
        <w:t xml:space="preserve">by the </w:t>
      </w:r>
      <w:r w:rsidR="00093043">
        <w:t>Accessing Party</w:t>
      </w:r>
      <w:r w:rsidRPr="004104FC">
        <w:t xml:space="preserve"> and/or its authorized personnel (i) shall not disturb any employees, tenants, licensees, guests, or other occupants of </w:t>
      </w:r>
      <w:r w:rsidR="00B304E3">
        <w:t xml:space="preserve">the </w:t>
      </w:r>
      <w:r w:rsidR="00764723">
        <w:t>Burdened Property</w:t>
      </w:r>
      <w:r w:rsidR="00AB528E">
        <w:t xml:space="preserve"> and (ii) shall not cause substantial interference</w:t>
      </w:r>
      <w:r w:rsidRPr="004104FC">
        <w:t xml:space="preserve"> with the use and operation of the </w:t>
      </w:r>
      <w:r w:rsidR="00764723">
        <w:t>Burdened Property</w:t>
      </w:r>
      <w:r w:rsidR="00137C70">
        <w:t>.</w:t>
      </w:r>
    </w:p>
    <w:p w:rsidR="00137C70" w:rsidRDefault="004104FC" w:rsidP="00137C70">
      <w:pPr>
        <w:pStyle w:val="Heading3"/>
        <w:tabs>
          <w:tab w:val="clear" w:pos="2880"/>
          <w:tab w:val="left" w:pos="2160"/>
        </w:tabs>
        <w:ind w:firstLine="1440"/>
      </w:pPr>
      <w:r w:rsidRPr="004104FC">
        <w:t xml:space="preserve">Any excavations by or on behalf of </w:t>
      </w:r>
      <w:r w:rsidR="00B304E3">
        <w:t>the Accessing Party</w:t>
      </w:r>
      <w:r w:rsidRPr="004104FC">
        <w:t xml:space="preserve"> permitted by this Agreement </w:t>
      </w:r>
      <w:r w:rsidR="007C47AB">
        <w:t xml:space="preserve">on the </w:t>
      </w:r>
      <w:r w:rsidR="00764723">
        <w:t>Burdened Property</w:t>
      </w:r>
      <w:r w:rsidR="007C47AB">
        <w:t xml:space="preserve"> </w:t>
      </w:r>
      <w:r w:rsidRPr="004104FC">
        <w:t xml:space="preserve">shall be properly backfilled and the surface of the land included within the </w:t>
      </w:r>
      <w:r w:rsidR="00764723">
        <w:t xml:space="preserve">Burdened Property </w:t>
      </w:r>
      <w:r w:rsidR="00B304E3">
        <w:t xml:space="preserve">Easement Area </w:t>
      </w:r>
      <w:r w:rsidRPr="004104FC">
        <w:t xml:space="preserve">shall be restored by </w:t>
      </w:r>
      <w:r w:rsidR="00B304E3">
        <w:t xml:space="preserve">the Accessing Party </w:t>
      </w:r>
      <w:r w:rsidRPr="004104FC">
        <w:t>to as reasonably good condition as said surface was in immediat</w:t>
      </w:r>
      <w:r w:rsidR="00137C70">
        <w:t>ely prior to such excavations.</w:t>
      </w:r>
    </w:p>
    <w:p w:rsidR="00DB7A6A" w:rsidRDefault="00212EF4" w:rsidP="00DB7A6A">
      <w:pPr>
        <w:pStyle w:val="Heading3"/>
        <w:tabs>
          <w:tab w:val="clear" w:pos="2880"/>
          <w:tab w:val="left" w:pos="2160"/>
        </w:tabs>
        <w:ind w:firstLine="1440"/>
      </w:pPr>
      <w:r>
        <w:t xml:space="preserve">Access to the </w:t>
      </w:r>
      <w:r w:rsidR="00764723">
        <w:t>Burdened Property</w:t>
      </w:r>
      <w:r>
        <w:t xml:space="preserve"> </w:t>
      </w:r>
      <w:r w:rsidR="004104FC" w:rsidRPr="004104FC">
        <w:t xml:space="preserve">by the </w:t>
      </w:r>
      <w:r>
        <w:t xml:space="preserve">Accessing Party pursuant to the rights created by this Agreement </w:t>
      </w:r>
      <w:r w:rsidR="004104FC" w:rsidRPr="004104FC">
        <w:t xml:space="preserve">shall be at the sole cost and risk of the </w:t>
      </w:r>
      <w:r>
        <w:t>Accessing Party</w:t>
      </w:r>
      <w:r w:rsidR="004104FC" w:rsidRPr="004104FC">
        <w:t xml:space="preserve"> and the </w:t>
      </w:r>
      <w:r w:rsidR="00764723">
        <w:t>owner of the Burdened Property</w:t>
      </w:r>
      <w:r w:rsidR="004104FC" w:rsidRPr="004104FC">
        <w:t xml:space="preserve"> shall have no responsibility or liability except </w:t>
      </w:r>
      <w:r w:rsidR="007C47AB">
        <w:t xml:space="preserve">to the extent due to </w:t>
      </w:r>
      <w:r w:rsidR="004104FC" w:rsidRPr="004104FC">
        <w:t xml:space="preserve">the gross negligence or willful misconduct of </w:t>
      </w:r>
      <w:r>
        <w:t xml:space="preserve">the </w:t>
      </w:r>
      <w:r w:rsidR="00764723">
        <w:t>owner of the Burdened Property</w:t>
      </w:r>
      <w:r w:rsidR="004104FC" w:rsidRPr="004104FC">
        <w:t xml:space="preserve"> or its agents and servants</w:t>
      </w:r>
      <w:r w:rsidR="00587986" w:rsidRPr="00C63AF0">
        <w:t>.</w:t>
      </w:r>
    </w:p>
    <w:p w:rsidR="006A0EA8" w:rsidRDefault="008B6BEC" w:rsidP="006A0EA8">
      <w:pPr>
        <w:pStyle w:val="Heading1"/>
        <w:tabs>
          <w:tab w:val="clear" w:pos="1440"/>
        </w:tabs>
      </w:pPr>
      <w:r w:rsidRPr="008B6BEC">
        <w:rPr>
          <w:u w:val="single"/>
        </w:rPr>
        <w:t>Maintenance and Repair</w:t>
      </w:r>
      <w:r>
        <w:t>.</w:t>
      </w:r>
      <w:r>
        <w:tab/>
      </w:r>
    </w:p>
    <w:p w:rsidR="008B6BEC" w:rsidRDefault="008B6BEC" w:rsidP="006010BC">
      <w:pPr>
        <w:pStyle w:val="Heading3"/>
        <w:numPr>
          <w:ilvl w:val="2"/>
          <w:numId w:val="37"/>
        </w:numPr>
        <w:ind w:left="0" w:firstLine="2160"/>
      </w:pPr>
      <w:r>
        <w:t>Portland Norwich, at its cost and expense</w:t>
      </w:r>
      <w:r w:rsidR="008B3BB4">
        <w:t xml:space="preserve">, </w:t>
      </w:r>
      <w:r>
        <w:t>shall be responsible for the construction of the initial improvements in the Easement Area in accordance with the site plan appr</w:t>
      </w:r>
      <w:r w:rsidR="00DA49AA">
        <w:t>oval entitled dated May 25, 2016, by the City of Portland, Maine, Planning Board</w:t>
      </w:r>
      <w:r>
        <w:t xml:space="preserve"> (the “</w:t>
      </w:r>
      <w:r w:rsidRPr="008B6BEC">
        <w:rPr>
          <w:u w:val="single"/>
        </w:rPr>
        <w:t>Site Plan</w:t>
      </w:r>
      <w:r>
        <w:rPr>
          <w:u w:val="single"/>
        </w:rPr>
        <w:t xml:space="preserve"> Approval</w:t>
      </w:r>
      <w:r w:rsidR="00C351EC">
        <w:t xml:space="preserve">”); provided that any utilities that may be installed for the sole benefit of Lot 2 shall be the sole cost of Portland Acquisition. </w:t>
      </w:r>
      <w:r>
        <w:t xml:space="preserve">  Portland Norwich</w:t>
      </w:r>
      <w:r w:rsidRPr="000555C6">
        <w:t>, at its sole cost and expense</w:t>
      </w:r>
      <w:r>
        <w:t xml:space="preserve"> (subject to reimbursement as provided herein)</w:t>
      </w:r>
      <w:r w:rsidRPr="000555C6">
        <w:t xml:space="preserve">, shall be responsible for the maintenance and repair of the </w:t>
      </w:r>
      <w:bookmarkStart w:id="0" w:name="_GoBack"/>
      <w:bookmarkEnd w:id="0"/>
      <w:r>
        <w:t>Easement Area</w:t>
      </w:r>
      <w:r w:rsidRPr="000555C6">
        <w:t xml:space="preserve"> in conformity with all applicable laws and as otherwise may be necessary to preserve the </w:t>
      </w:r>
      <w:r>
        <w:t>Easement Area</w:t>
      </w:r>
      <w:r w:rsidRPr="000555C6">
        <w:t xml:space="preserve">, </w:t>
      </w:r>
      <w:r>
        <w:t xml:space="preserve">which shall also include landscaping and </w:t>
      </w:r>
      <w:r w:rsidRPr="000555C6">
        <w:t>removal of snow, ice and water, and resurf</w:t>
      </w:r>
      <w:r>
        <w:t xml:space="preserve">acing when and where necessary.  </w:t>
      </w:r>
      <w:r w:rsidRPr="000555C6">
        <w:t xml:space="preserve">All repairs and maintenance of the </w:t>
      </w:r>
      <w:r>
        <w:t>Easement Area</w:t>
      </w:r>
      <w:r w:rsidRPr="000555C6">
        <w:t xml:space="preserve"> shall be performed and in a good workmanlike manner as expeditiously as possible in order to avoid any unnecessary interruption of any s</w:t>
      </w:r>
      <w:r>
        <w:t>ervice or inconvenience to the P</w:t>
      </w:r>
      <w:r w:rsidRPr="000555C6">
        <w:t xml:space="preserve">arties </w:t>
      </w:r>
      <w:r>
        <w:t xml:space="preserve">or other parties </w:t>
      </w:r>
      <w:r w:rsidRPr="000555C6">
        <w:t xml:space="preserve">benefitted by </w:t>
      </w:r>
      <w:r>
        <w:t>the Easement Area.  All vendors and contractors engaged to perform any work required for the maintenance and repair of the Easement Area shall be engaged by Portland Norwich as Portland Norwich shall reasonably determine and all such costs and expenses shall be subject to reimbursement as hereafter provided</w:t>
      </w:r>
      <w:r w:rsidR="008B3BB4">
        <w:t xml:space="preserve"> by Portland Acquisition.  It is specifically understood and acknowledged that the respective owner of Lot 1 or Lot 2 shall be solely </w:t>
      </w:r>
      <w:r w:rsidR="008B3BB4">
        <w:lastRenderedPageBreak/>
        <w:t xml:space="preserve">responsible for the maintenance, repair and/or replacement of any utilities installed in the Easement Area and all costs thereof which </w:t>
      </w:r>
      <w:r w:rsidR="00C351EC">
        <w:t xml:space="preserve">solely </w:t>
      </w:r>
      <w:r w:rsidR="008B3BB4">
        <w:t>benefit only the respective Lot 1 or Lot 2.</w:t>
      </w:r>
    </w:p>
    <w:p w:rsidR="008B6BEC" w:rsidRDefault="008B6BEC" w:rsidP="006010BC">
      <w:pPr>
        <w:pStyle w:val="Heading3"/>
        <w:numPr>
          <w:ilvl w:val="2"/>
          <w:numId w:val="37"/>
        </w:numPr>
        <w:ind w:left="0" w:firstLine="2160"/>
      </w:pPr>
      <w:r w:rsidRPr="0011204E">
        <w:t>Portland Acquisition agrees to reimburse Portland Norwich for fifty percent (50%) of all costs and expenses incurred by Portland Norwich with respect to  the repair, replacement,</w:t>
      </w:r>
      <w:r w:rsidR="008B3BB4">
        <w:t xml:space="preserve"> and maintenance of the Easement Area</w:t>
      </w:r>
      <w:r w:rsidRPr="0011204E">
        <w:t>.  Portland Acquisition shall make payments of the amounts specified in any invoices for any such costs or expenses delivered to Portland Acquisition by Portland Norwich within thirty (30) days following Portland Acquisition’s receipt of the same.  Any amount due and not paid within such thirty (30) days period shall bear interest at a rate equal to two percent (2%) in excess of the “Prime Rate” as published in the Wall Street Journal (or, if Portland Norwich so elects, announce</w:t>
      </w:r>
      <w:r>
        <w:t>d</w:t>
      </w:r>
      <w:r w:rsidRPr="0011204E">
        <w:t xml:space="preserve"> by a major commercial bank reasonably designated b</w:t>
      </w:r>
      <w:r>
        <w:t>y Portland Norwich) until paid.</w:t>
      </w:r>
    </w:p>
    <w:p w:rsidR="00DB7A6A" w:rsidRDefault="008B6BEC" w:rsidP="006010BC">
      <w:pPr>
        <w:pStyle w:val="Heading3"/>
        <w:numPr>
          <w:ilvl w:val="2"/>
          <w:numId w:val="37"/>
        </w:numPr>
        <w:ind w:left="0" w:firstLine="2160"/>
      </w:pPr>
      <w:r w:rsidRPr="00892882">
        <w:t xml:space="preserve">In the event that </w:t>
      </w:r>
      <w:r>
        <w:t>Portland Norwich fails to</w:t>
      </w:r>
      <w:r w:rsidRPr="00892882">
        <w:t xml:space="preserve"> perform any such maintenance</w:t>
      </w:r>
      <w:r>
        <w:t xml:space="preserve"> and/or repairs</w:t>
      </w:r>
      <w:r w:rsidRPr="00892882">
        <w:t xml:space="preserve"> within a reasonable period of time following its receipt of written notice</w:t>
      </w:r>
      <w:r>
        <w:t xml:space="preserve"> from Portland Acquisition specifying such failure</w:t>
      </w:r>
      <w:r w:rsidRPr="00892882">
        <w:t>,</w:t>
      </w:r>
      <w:r w:rsidR="00C351EC">
        <w:t xml:space="preserve"> subject to matters which are not within the reasonable control of Portland Norwich,</w:t>
      </w:r>
      <w:r w:rsidRPr="00892882">
        <w:t xml:space="preserve"> then </w:t>
      </w:r>
      <w:r>
        <w:t xml:space="preserve">Portland Acquisition </w:t>
      </w:r>
      <w:r w:rsidRPr="00892882">
        <w:t>may perform such maintenance and/or repairs as are reasonably necessary</w:t>
      </w:r>
      <w:r w:rsidR="00C351EC">
        <w:t xml:space="preserve"> upon at least ten (10) days advance notice to Portland Norwich</w:t>
      </w:r>
      <w:r w:rsidRPr="00892882">
        <w:t xml:space="preserve"> and </w:t>
      </w:r>
      <w:r>
        <w:t>Portland Norwich</w:t>
      </w:r>
      <w:r w:rsidRPr="00892882">
        <w:t xml:space="preserve"> shall</w:t>
      </w:r>
      <w:r w:rsidR="008B7F0C">
        <w:t>, provided the costs are as a result of the failure of Portland Norwich to comply with its obligations hereunder,</w:t>
      </w:r>
      <w:r w:rsidRPr="00892882">
        <w:t xml:space="preserve"> reimburse </w:t>
      </w:r>
      <w:r>
        <w:t>Portland Acquisition</w:t>
      </w:r>
      <w:r w:rsidRPr="00892882">
        <w:t xml:space="preserve"> for the reasonable costs incurred in performing such maintenance and/or repairs within thirty (30) days following </w:t>
      </w:r>
      <w:r>
        <w:t>Portland Acquisition’s</w:t>
      </w:r>
      <w:r w:rsidRPr="00892882">
        <w:t xml:space="preserve"> written request for payment, which written request shall include copies of the invoice(s) for any such costs</w:t>
      </w:r>
      <w:r>
        <w:t>.</w:t>
      </w:r>
    </w:p>
    <w:p w:rsidR="00585C4C" w:rsidRDefault="00585C4C" w:rsidP="00585C4C">
      <w:pPr>
        <w:pStyle w:val="Heading1"/>
      </w:pPr>
      <w:r w:rsidRPr="00585C4C">
        <w:rPr>
          <w:u w:val="single"/>
        </w:rPr>
        <w:t>Compliance with Laws</w:t>
      </w:r>
      <w:r w:rsidRPr="00585C4C">
        <w:t xml:space="preserve">. In exercising their rights hereunder, and in making use of the easements granted hereunder, </w:t>
      </w:r>
      <w:r w:rsidR="00DC2D31">
        <w:t xml:space="preserve">Portland Norwich </w:t>
      </w:r>
      <w:r w:rsidR="00FF5721">
        <w:t xml:space="preserve">and </w:t>
      </w:r>
      <w:r w:rsidR="000F028B">
        <w:t>Portland Acquisition</w:t>
      </w:r>
      <w:r w:rsidRPr="00585C4C">
        <w:t xml:space="preserve"> shall comply with all laws, </w:t>
      </w:r>
      <w:r w:rsidR="00E86CC8">
        <w:t xml:space="preserve">statutes, </w:t>
      </w:r>
      <w:r w:rsidRPr="00585C4C">
        <w:t>ordinances, regulations, rules and orders of all governmental bodies having jurisdiction and shall secure all permits.</w:t>
      </w:r>
    </w:p>
    <w:p w:rsidR="005F58DD" w:rsidRPr="005F58DD" w:rsidRDefault="005F58DD" w:rsidP="00C63AF0">
      <w:pPr>
        <w:pStyle w:val="Heading1"/>
      </w:pPr>
      <w:r w:rsidRPr="005F58DD">
        <w:rPr>
          <w:u w:val="single"/>
        </w:rPr>
        <w:t>Indemnification</w:t>
      </w:r>
      <w:r w:rsidR="00AA68E2">
        <w:t xml:space="preserve">.  </w:t>
      </w:r>
      <w:r w:rsidR="00A82F05">
        <w:t xml:space="preserve">Except to the extent caused by the gross negligence or willful misconduct of any </w:t>
      </w:r>
      <w:r w:rsidR="000F028B">
        <w:t>Portland Acquisition</w:t>
      </w:r>
      <w:r w:rsidR="00A82F05">
        <w:t xml:space="preserve"> Indemnified Parties (defined herein), </w:t>
      </w:r>
      <w:r w:rsidR="00DC2D31">
        <w:t>Portland Norwich</w:t>
      </w:r>
      <w:r w:rsidR="00AA68E2">
        <w:t xml:space="preserve"> </w:t>
      </w:r>
      <w:r w:rsidR="00686CA8">
        <w:t xml:space="preserve">agrees to </w:t>
      </w:r>
      <w:r w:rsidR="00AA68E2">
        <w:t>indemnif</w:t>
      </w:r>
      <w:r w:rsidR="00686CA8">
        <w:t>y, defend, and hold harmless</w:t>
      </w:r>
      <w:r w:rsidR="00AA68E2">
        <w:t xml:space="preserve"> </w:t>
      </w:r>
      <w:r w:rsidR="000F028B">
        <w:t>Portland Acquisition</w:t>
      </w:r>
      <w:r w:rsidR="00AA68E2">
        <w:t xml:space="preserve"> and its officers, members, managers, shareholders, employees, agents, and representatives (collectively the “</w:t>
      </w:r>
      <w:r w:rsidR="000F028B">
        <w:rPr>
          <w:u w:val="single"/>
        </w:rPr>
        <w:t>Portland Acquisition</w:t>
      </w:r>
      <w:r w:rsidR="00AA68E2" w:rsidRPr="00AA68E2">
        <w:rPr>
          <w:u w:val="single"/>
        </w:rPr>
        <w:t xml:space="preserve"> I</w:t>
      </w:r>
      <w:r w:rsidR="00686CA8">
        <w:rPr>
          <w:u w:val="single"/>
        </w:rPr>
        <w:t>n</w:t>
      </w:r>
      <w:r w:rsidR="00AA68E2" w:rsidRPr="00AA68E2">
        <w:rPr>
          <w:u w:val="single"/>
        </w:rPr>
        <w:t>demnified Parties</w:t>
      </w:r>
      <w:r w:rsidR="00AA68E2">
        <w:t xml:space="preserve">”) from and against all liability, damages, costs, claims, and/or demands of any kind or character whatsoever which may be made against a </w:t>
      </w:r>
      <w:r w:rsidR="000F028B">
        <w:t>Portland Acquisition</w:t>
      </w:r>
      <w:r w:rsidR="00AA68E2">
        <w:t xml:space="preserve"> Indemnified Party as a result of, or arising out of, the death or bodily injury of any individual or any damage to property caused by the negligence or willful misconduct of </w:t>
      </w:r>
      <w:r w:rsidR="00DC2D31">
        <w:t>Portland Norwich</w:t>
      </w:r>
      <w:r w:rsidR="00AA68E2">
        <w:t xml:space="preserve">, its employees, contractors, agents, representatives, </w:t>
      </w:r>
      <w:r w:rsidR="00A82F05">
        <w:t>tenants, or licensees, or their respective guests or invitees</w:t>
      </w:r>
      <w:r w:rsidR="000555C6">
        <w:t>, in connection with the exercise of the easement rights granted to Portland Norwich under this Agreement</w:t>
      </w:r>
      <w:r w:rsidR="00A82F05">
        <w:t xml:space="preserve">.  Except to the extent caused by the gross negligence or willful misconduct of any </w:t>
      </w:r>
      <w:r w:rsidR="00DC2D31">
        <w:t>Portland Norwich</w:t>
      </w:r>
      <w:r w:rsidR="00A82F05">
        <w:t xml:space="preserve"> Indemnified Parties (defined herein), </w:t>
      </w:r>
      <w:r w:rsidR="000F028B">
        <w:t>Portland Acquisition</w:t>
      </w:r>
      <w:r w:rsidR="00686CA8">
        <w:t xml:space="preserve"> agrees to indemnify, defend, and hold harmless</w:t>
      </w:r>
      <w:r w:rsidR="00A82F05">
        <w:t xml:space="preserve"> </w:t>
      </w:r>
      <w:r w:rsidR="00DC2D31">
        <w:t>Portland Norwich</w:t>
      </w:r>
      <w:r w:rsidR="00A82F05">
        <w:t xml:space="preserve"> and its officers, members, managers, shareholders, employees, agents, and representatives (collectively the “</w:t>
      </w:r>
      <w:r w:rsidR="00DC2D31">
        <w:rPr>
          <w:u w:val="single"/>
        </w:rPr>
        <w:t>Portland Norwich</w:t>
      </w:r>
      <w:r w:rsidR="00DC2D31" w:rsidRPr="00AA68E2">
        <w:rPr>
          <w:u w:val="single"/>
        </w:rPr>
        <w:t xml:space="preserve"> </w:t>
      </w:r>
      <w:r w:rsidR="00A82F05" w:rsidRPr="00AA68E2">
        <w:rPr>
          <w:u w:val="single"/>
        </w:rPr>
        <w:t>I</w:t>
      </w:r>
      <w:r w:rsidR="00686CA8">
        <w:rPr>
          <w:u w:val="single"/>
        </w:rPr>
        <w:t>n</w:t>
      </w:r>
      <w:r w:rsidR="00A82F05" w:rsidRPr="00AA68E2">
        <w:rPr>
          <w:u w:val="single"/>
        </w:rPr>
        <w:t>demnified Parties</w:t>
      </w:r>
      <w:r w:rsidR="00A82F05">
        <w:t xml:space="preserve">”) from and against all liability, damages, costs, claims, and/or demands of any kind or character whatsoever which may be made against a </w:t>
      </w:r>
      <w:r w:rsidR="00DC2D31">
        <w:t xml:space="preserve">Portland Norwich </w:t>
      </w:r>
      <w:r w:rsidR="00A82F05">
        <w:t xml:space="preserve">Indemnified Party as a result of, or arising out of, the death or bodily injury of any individual or any damage to property caused by the negligence or willful misconduct of </w:t>
      </w:r>
      <w:r w:rsidR="000F028B">
        <w:t>Portland Acquisition</w:t>
      </w:r>
      <w:r w:rsidR="00A82F05">
        <w:t xml:space="preserve">, its employees, contractors, agents, </w:t>
      </w:r>
      <w:r w:rsidR="00A82F05">
        <w:lastRenderedPageBreak/>
        <w:t>representatives, tenants, or licensees, or their respective guests or invitees</w:t>
      </w:r>
      <w:r w:rsidR="000555C6">
        <w:t xml:space="preserve"> in connection with the exercise of the easement rights granted to Portland Acquisition under this Agreement</w:t>
      </w:r>
      <w:r w:rsidR="00A82F05">
        <w:t xml:space="preserve">.  The provisions of this </w:t>
      </w:r>
      <w:r w:rsidR="00A82F05" w:rsidRPr="00F03747">
        <w:rPr>
          <w:u w:val="single"/>
        </w:rPr>
        <w:t>Section 7</w:t>
      </w:r>
      <w:r w:rsidR="00A82F05">
        <w:t xml:space="preserve"> shall survive the termination of this Agreement.</w:t>
      </w:r>
    </w:p>
    <w:p w:rsidR="00585C4C" w:rsidRDefault="00C63AF0" w:rsidP="00C63AF0">
      <w:pPr>
        <w:pStyle w:val="Heading1"/>
      </w:pPr>
      <w:r w:rsidRPr="00585C4C">
        <w:rPr>
          <w:u w:val="single"/>
        </w:rPr>
        <w:t>Insurance</w:t>
      </w:r>
      <w:r w:rsidRPr="00C63AF0">
        <w:t xml:space="preserve">. </w:t>
      </w:r>
      <w:r w:rsidR="007C47AB">
        <w:t xml:space="preserve"> Each P</w:t>
      </w:r>
      <w:r w:rsidR="00F03747">
        <w:t>arty</w:t>
      </w:r>
      <w:r w:rsidRPr="00C63AF0">
        <w:t xml:space="preserve"> shall </w:t>
      </w:r>
      <w:r w:rsidR="00F03747">
        <w:t xml:space="preserve">each </w:t>
      </w:r>
      <w:r w:rsidRPr="00C63AF0">
        <w:t xml:space="preserve">maintain at its own expense a policy of comprehensive general liability insurance </w:t>
      </w:r>
      <w:r w:rsidR="00DC2D31">
        <w:t>in which</w:t>
      </w:r>
      <w:r w:rsidRPr="00C63AF0">
        <w:t xml:space="preserve"> the </w:t>
      </w:r>
      <w:r w:rsidR="00BA3909">
        <w:t>other P</w:t>
      </w:r>
      <w:r w:rsidR="00F03747">
        <w:t xml:space="preserve">arty </w:t>
      </w:r>
      <w:r w:rsidR="00DC2D31">
        <w:t xml:space="preserve">shall be named as an additional insured </w:t>
      </w:r>
      <w:r w:rsidRPr="00C63AF0">
        <w:t xml:space="preserve">in connection with the exercise of the rights granted hereunder to </w:t>
      </w:r>
      <w:r w:rsidR="00BA3909">
        <w:t>such P</w:t>
      </w:r>
      <w:r w:rsidR="00F03747">
        <w:t>arty</w:t>
      </w:r>
      <w:r w:rsidRPr="00C63AF0">
        <w:t xml:space="preserve">. </w:t>
      </w:r>
      <w:r w:rsidR="00803696">
        <w:t xml:space="preserve">  </w:t>
      </w:r>
      <w:r w:rsidRPr="00C63AF0">
        <w:t>The minimum limits of liability of such insurance shall be an aggre</w:t>
      </w:r>
      <w:r w:rsidR="00AB528E">
        <w:t>gate combined single limit of $3</w:t>
      </w:r>
      <w:r w:rsidRPr="00C63AF0">
        <w:t xml:space="preserve">,000,000.00 for personal injury or property damage, or such higher limits as may reasonably be requested in writing and which would be customarily maintained for similar coverages. A certificate evidencing that such insurance is in place shall be provided prior to any work being commenced (effective upon the exercise of the easement rights granted hereunder) and such additional certificate shall be provided at least twenty (20) days prior to the expiration of the then existing policy. Each such certificate shall provide that </w:t>
      </w:r>
      <w:r w:rsidR="00BA3909">
        <w:t>such other Party</w:t>
      </w:r>
      <w:r w:rsidRPr="00C63AF0">
        <w:t xml:space="preserve"> shall be named as an additional insured thereunder.</w:t>
      </w:r>
    </w:p>
    <w:p w:rsidR="00585C4C" w:rsidRPr="00585C4C" w:rsidRDefault="00C63AF0" w:rsidP="00C63AF0">
      <w:pPr>
        <w:pStyle w:val="Heading1"/>
      </w:pPr>
      <w:r w:rsidRPr="00585C4C">
        <w:rPr>
          <w:rFonts w:eastAsiaTheme="minorEastAsia"/>
          <w:iCs/>
          <w:u w:val="single"/>
        </w:rPr>
        <w:t>Benefit</w:t>
      </w:r>
      <w:r w:rsidRPr="00585C4C">
        <w:rPr>
          <w:rFonts w:eastAsiaTheme="minorEastAsia"/>
          <w:iCs/>
        </w:rPr>
        <w:t>. The easements an</w:t>
      </w:r>
      <w:r w:rsidR="00BA3909">
        <w:rPr>
          <w:rFonts w:eastAsiaTheme="minorEastAsia"/>
          <w:iCs/>
        </w:rPr>
        <w:t xml:space="preserve">d rights granted herein to </w:t>
      </w:r>
      <w:r w:rsidR="0032421A">
        <w:rPr>
          <w:rFonts w:eastAsiaTheme="minorEastAsia"/>
          <w:iCs/>
        </w:rPr>
        <w:t>Portland Norwich and Portland Acquisition</w:t>
      </w:r>
      <w:r w:rsidRPr="00585C4C">
        <w:rPr>
          <w:rFonts w:eastAsiaTheme="minorEastAsia"/>
          <w:iCs/>
        </w:rPr>
        <w:t xml:space="preserve"> shall be for the benefit of the owners and mortgagees from time to time of </w:t>
      </w:r>
      <w:r w:rsidR="0032421A">
        <w:rPr>
          <w:rFonts w:eastAsiaTheme="minorEastAsia"/>
          <w:iCs/>
        </w:rPr>
        <w:t xml:space="preserve">all or any portion of </w:t>
      </w:r>
      <w:r w:rsidR="00DC2D31">
        <w:rPr>
          <w:rFonts w:eastAsiaTheme="minorEastAsia"/>
          <w:iCs/>
        </w:rPr>
        <w:t>Lot 1 and Lot 2</w:t>
      </w:r>
      <w:r w:rsidRPr="00585C4C">
        <w:rPr>
          <w:rFonts w:eastAsiaTheme="minorEastAsia"/>
          <w:iCs/>
        </w:rPr>
        <w:t xml:space="preserve">, </w:t>
      </w:r>
      <w:r w:rsidR="0032421A">
        <w:rPr>
          <w:rFonts w:eastAsiaTheme="minorEastAsia"/>
          <w:iCs/>
        </w:rPr>
        <w:t>respectively</w:t>
      </w:r>
      <w:r w:rsidRPr="00585C4C">
        <w:rPr>
          <w:rFonts w:eastAsiaTheme="minorEastAsia"/>
          <w:iCs/>
        </w:rPr>
        <w:t xml:space="preserve">, and their respective successors and assigns, and for the tenants, lessees, licensees and lawful occupants of the respective properties to </w:t>
      </w:r>
      <w:r w:rsidR="00A82F05">
        <w:rPr>
          <w:rFonts w:eastAsiaTheme="minorEastAsia"/>
          <w:iCs/>
        </w:rPr>
        <w:t>which</w:t>
      </w:r>
      <w:r w:rsidRPr="00585C4C">
        <w:rPr>
          <w:rFonts w:eastAsiaTheme="minorEastAsia"/>
          <w:iCs/>
        </w:rPr>
        <w:t xml:space="preserve"> such rights </w:t>
      </w:r>
      <w:r w:rsidR="00A82F05">
        <w:rPr>
          <w:rFonts w:eastAsiaTheme="minorEastAsia"/>
          <w:iCs/>
        </w:rPr>
        <w:t>are</w:t>
      </w:r>
      <w:r w:rsidRPr="00585C4C">
        <w:rPr>
          <w:rFonts w:eastAsiaTheme="minorEastAsia"/>
          <w:iCs/>
        </w:rPr>
        <w:t xml:space="preserve"> granted.</w:t>
      </w:r>
    </w:p>
    <w:p w:rsidR="00871C5E" w:rsidRPr="00871C5E" w:rsidRDefault="00C63AF0" w:rsidP="00C63AF0">
      <w:pPr>
        <w:pStyle w:val="Heading1"/>
      </w:pPr>
      <w:r w:rsidRPr="00585C4C">
        <w:rPr>
          <w:rFonts w:eastAsiaTheme="minorEastAsia"/>
          <w:iCs/>
          <w:u w:val="single"/>
        </w:rPr>
        <w:t>Successors</w:t>
      </w:r>
      <w:r w:rsidRPr="00585C4C">
        <w:rPr>
          <w:rFonts w:eastAsiaTheme="minorEastAsia"/>
          <w:iCs/>
        </w:rPr>
        <w:t xml:space="preserve">. As used herein, the terms </w:t>
      </w:r>
      <w:r w:rsidR="00803696">
        <w:rPr>
          <w:rFonts w:eastAsiaTheme="minorEastAsia"/>
          <w:iCs/>
        </w:rPr>
        <w:t>“</w:t>
      </w:r>
      <w:r w:rsidR="00DC2D31">
        <w:rPr>
          <w:rFonts w:eastAsiaTheme="minorEastAsia"/>
          <w:iCs/>
        </w:rPr>
        <w:t>Portland Norwich</w:t>
      </w:r>
      <w:r w:rsidR="00803696">
        <w:rPr>
          <w:rFonts w:eastAsiaTheme="minorEastAsia"/>
          <w:iCs/>
        </w:rPr>
        <w:t>” and “</w:t>
      </w:r>
      <w:r w:rsidR="000F028B">
        <w:rPr>
          <w:rFonts w:eastAsiaTheme="minorEastAsia"/>
          <w:iCs/>
        </w:rPr>
        <w:t>Portland Acquisition</w:t>
      </w:r>
      <w:r w:rsidR="00803696">
        <w:rPr>
          <w:rFonts w:eastAsiaTheme="minorEastAsia"/>
          <w:iCs/>
        </w:rPr>
        <w:t>”</w:t>
      </w:r>
      <w:r w:rsidRPr="00585C4C">
        <w:rPr>
          <w:rFonts w:eastAsiaTheme="minorEastAsia"/>
          <w:iCs/>
        </w:rPr>
        <w:t xml:space="preserve"> shall include their respective successors and assigns and successors in title where the context so permits, and the agreements contained herein shall be covenants running with the land and shall be binding upon and inure to the benefit of the parties hereto and those claiming title to or interest in any of </w:t>
      </w:r>
      <w:r w:rsidR="00DC2D31">
        <w:rPr>
          <w:rFonts w:eastAsiaTheme="minorEastAsia"/>
          <w:iCs/>
        </w:rPr>
        <w:t>Lot 1</w:t>
      </w:r>
      <w:r w:rsidR="00803696">
        <w:rPr>
          <w:rFonts w:eastAsiaTheme="minorEastAsia"/>
          <w:iCs/>
        </w:rPr>
        <w:t xml:space="preserve"> </w:t>
      </w:r>
      <w:r w:rsidR="00BA3909">
        <w:rPr>
          <w:rFonts w:eastAsiaTheme="minorEastAsia"/>
          <w:iCs/>
        </w:rPr>
        <w:t>or</w:t>
      </w:r>
      <w:r w:rsidRPr="00585C4C">
        <w:rPr>
          <w:rFonts w:eastAsiaTheme="minorEastAsia"/>
          <w:iCs/>
        </w:rPr>
        <w:t xml:space="preserve"> </w:t>
      </w:r>
      <w:r w:rsidR="00DC2D31">
        <w:rPr>
          <w:rFonts w:eastAsiaTheme="minorEastAsia"/>
          <w:iCs/>
        </w:rPr>
        <w:t>Lot 2</w:t>
      </w:r>
      <w:r w:rsidRPr="00585C4C">
        <w:rPr>
          <w:rFonts w:eastAsiaTheme="minorEastAsia"/>
          <w:iCs/>
        </w:rPr>
        <w:t xml:space="preserve"> by, through or under any of them.</w:t>
      </w:r>
    </w:p>
    <w:p w:rsidR="00871C5E" w:rsidRPr="00871C5E" w:rsidRDefault="00C63AF0" w:rsidP="00C63AF0">
      <w:pPr>
        <w:pStyle w:val="Heading1"/>
      </w:pPr>
      <w:r w:rsidRPr="00871C5E">
        <w:rPr>
          <w:rFonts w:eastAsiaTheme="minorEastAsia"/>
          <w:iCs/>
          <w:u w:val="single"/>
        </w:rPr>
        <w:t>No Liability</w:t>
      </w:r>
      <w:r w:rsidR="00DC2D31">
        <w:rPr>
          <w:rFonts w:eastAsiaTheme="minorEastAsia"/>
          <w:iCs/>
        </w:rPr>
        <w:t xml:space="preserve">. If any owner of </w:t>
      </w:r>
      <w:r w:rsidR="0032421A">
        <w:rPr>
          <w:rFonts w:eastAsiaTheme="minorEastAsia"/>
          <w:iCs/>
        </w:rPr>
        <w:t xml:space="preserve">all of any portion of </w:t>
      </w:r>
      <w:r w:rsidR="00DC2D31">
        <w:rPr>
          <w:rFonts w:eastAsiaTheme="minorEastAsia"/>
          <w:iCs/>
        </w:rPr>
        <w:t xml:space="preserve">Lot 1 or Lot 2 </w:t>
      </w:r>
      <w:r w:rsidRPr="00871C5E">
        <w:rPr>
          <w:rFonts w:eastAsiaTheme="minorEastAsia"/>
          <w:iCs/>
        </w:rPr>
        <w:t xml:space="preserve">is an individual, corporation, trust or partnership, no such individual, no shareholder, officer or director of any such corporation, no partner, general or limited, of any such partnership, and no trustee or beneficiary or shareholder of any such trust shall have any personal liability under this Agreement. </w:t>
      </w:r>
      <w:r w:rsidR="00803696">
        <w:rPr>
          <w:rFonts w:eastAsiaTheme="minorEastAsia"/>
          <w:iCs/>
        </w:rPr>
        <w:t xml:space="preserve"> </w:t>
      </w:r>
      <w:r w:rsidRPr="00871C5E">
        <w:rPr>
          <w:rFonts w:eastAsiaTheme="minorEastAsia"/>
          <w:iCs/>
        </w:rPr>
        <w:t>Each such party (including mortgagees) shall be liable only during their respective periods of ownership.</w:t>
      </w:r>
    </w:p>
    <w:p w:rsidR="00871C5E" w:rsidRPr="00871C5E" w:rsidRDefault="00C63AF0" w:rsidP="00C63AF0">
      <w:pPr>
        <w:pStyle w:val="Heading1"/>
      </w:pPr>
      <w:r w:rsidRPr="00871C5E">
        <w:rPr>
          <w:rFonts w:eastAsiaTheme="minorEastAsia"/>
          <w:iCs/>
          <w:u w:val="single"/>
        </w:rPr>
        <w:t>No Merger</w:t>
      </w:r>
      <w:r w:rsidRPr="00871C5E">
        <w:rPr>
          <w:rFonts w:eastAsiaTheme="minorEastAsia"/>
          <w:iCs/>
        </w:rPr>
        <w:t>. There shall be no merger of the rights, limitations or obligations created hereby with the fee title to any of the properties, notwithstanding that the properties are or may be owned or leased by the same person or persons or entities benefitted or burdened hereby.</w:t>
      </w:r>
    </w:p>
    <w:p w:rsidR="00871C5E" w:rsidRPr="00871C5E" w:rsidRDefault="00C63AF0" w:rsidP="00C63AF0">
      <w:pPr>
        <w:pStyle w:val="Heading1"/>
      </w:pPr>
      <w:r w:rsidRPr="00871C5E">
        <w:rPr>
          <w:rFonts w:eastAsiaTheme="minorEastAsia"/>
          <w:iCs/>
          <w:u w:val="single"/>
        </w:rPr>
        <w:t>No Waiver</w:t>
      </w:r>
      <w:r w:rsidR="00BA3909">
        <w:rPr>
          <w:rFonts w:eastAsiaTheme="minorEastAsia"/>
          <w:iCs/>
        </w:rPr>
        <w:t>. Any failure by any P</w:t>
      </w:r>
      <w:r w:rsidRPr="00871C5E">
        <w:rPr>
          <w:rFonts w:eastAsiaTheme="minorEastAsia"/>
          <w:iCs/>
        </w:rPr>
        <w:t>arty to insist upon s</w:t>
      </w:r>
      <w:r w:rsidR="00BA3909">
        <w:rPr>
          <w:rFonts w:eastAsiaTheme="minorEastAsia"/>
          <w:iCs/>
        </w:rPr>
        <w:t>trict performance by any other P</w:t>
      </w:r>
      <w:r w:rsidRPr="00871C5E">
        <w:rPr>
          <w:rFonts w:eastAsiaTheme="minorEastAsia"/>
          <w:iCs/>
        </w:rPr>
        <w:t>arty of any of the obligations hereunder shal</w:t>
      </w:r>
      <w:r w:rsidR="00803696">
        <w:rPr>
          <w:rFonts w:eastAsiaTheme="minorEastAsia"/>
          <w:iCs/>
        </w:rPr>
        <w:t>l not be deemed to be a waiver o</w:t>
      </w:r>
      <w:r w:rsidRPr="00871C5E">
        <w:rPr>
          <w:rFonts w:eastAsiaTheme="minorEastAsia"/>
          <w:iCs/>
        </w:rPr>
        <w:t>f any of the o</w:t>
      </w:r>
      <w:r w:rsidR="00BA3909">
        <w:rPr>
          <w:rFonts w:eastAsiaTheme="minorEastAsia"/>
          <w:iCs/>
        </w:rPr>
        <w:t>bligations hereunder, and such P</w:t>
      </w:r>
      <w:r w:rsidRPr="00871C5E">
        <w:rPr>
          <w:rFonts w:eastAsiaTheme="minorEastAsia"/>
          <w:iCs/>
        </w:rPr>
        <w:t>arty shall have the right at any time thereafter to insist upon s</w:t>
      </w:r>
      <w:r w:rsidR="00BA3909">
        <w:rPr>
          <w:rFonts w:eastAsiaTheme="minorEastAsia"/>
          <w:iCs/>
        </w:rPr>
        <w:t>trict performance by the other P</w:t>
      </w:r>
      <w:r w:rsidRPr="00871C5E">
        <w:rPr>
          <w:rFonts w:eastAsiaTheme="minorEastAsia"/>
          <w:iCs/>
        </w:rPr>
        <w:t xml:space="preserve">arty of any and all such obligations. The failure of any </w:t>
      </w:r>
      <w:r w:rsidR="00BA3909">
        <w:rPr>
          <w:rFonts w:eastAsiaTheme="minorEastAsia"/>
          <w:iCs/>
        </w:rPr>
        <w:t>P</w:t>
      </w:r>
      <w:r w:rsidRPr="00871C5E">
        <w:rPr>
          <w:rFonts w:eastAsiaTheme="minorEastAsia"/>
          <w:iCs/>
        </w:rPr>
        <w:t>arty to exercise any right or remedy hereunder shall in no event be construed as a waiver or release thereof, nor shall the choice of one remedy be deemed an election of remedies to the exclusion of other remedies.</w:t>
      </w:r>
    </w:p>
    <w:p w:rsidR="00871C5E" w:rsidRPr="00871C5E" w:rsidRDefault="00C63AF0" w:rsidP="00C63AF0">
      <w:pPr>
        <w:pStyle w:val="Heading1"/>
      </w:pPr>
      <w:r w:rsidRPr="00871C5E">
        <w:rPr>
          <w:rFonts w:eastAsiaTheme="minorEastAsia"/>
          <w:iCs/>
          <w:u w:val="single"/>
        </w:rPr>
        <w:lastRenderedPageBreak/>
        <w:t>Severability</w:t>
      </w:r>
      <w:r w:rsidRPr="00871C5E">
        <w:rPr>
          <w:rFonts w:eastAsiaTheme="minorEastAsia"/>
          <w:iCs/>
        </w:rPr>
        <w:t>. In case any one or more of the provisions of this Agreement shall be invalid, illegal or unenforceable in any respect, the validity of this Agreement and the remaining provisions thereof shall be in no way affected, prejudiced or disturbed thereby.</w:t>
      </w:r>
    </w:p>
    <w:p w:rsidR="00871C5E" w:rsidRPr="00871C5E" w:rsidRDefault="00C63AF0" w:rsidP="00C63AF0">
      <w:pPr>
        <w:pStyle w:val="Heading1"/>
      </w:pPr>
      <w:r w:rsidRPr="00871C5E">
        <w:rPr>
          <w:rFonts w:eastAsiaTheme="minorEastAsia"/>
          <w:iCs/>
          <w:u w:val="single"/>
        </w:rPr>
        <w:t>Modifications</w:t>
      </w:r>
      <w:r w:rsidRPr="00871C5E">
        <w:rPr>
          <w:rFonts w:eastAsiaTheme="minorEastAsia"/>
          <w:iCs/>
        </w:rPr>
        <w:t>. This Agreement and the terms hereof may not be changed, waived, discharged or terminated orally, but only by an instrument or instruments in writing signed by the party against which enforcement of the change, waiver, discharge or termination is asserted.</w:t>
      </w:r>
    </w:p>
    <w:p w:rsidR="00871C5E" w:rsidRPr="00871C5E" w:rsidRDefault="00C63AF0" w:rsidP="00C63AF0">
      <w:pPr>
        <w:pStyle w:val="Heading1"/>
      </w:pPr>
      <w:r w:rsidRPr="00871C5E">
        <w:rPr>
          <w:rFonts w:eastAsiaTheme="minorEastAsia"/>
          <w:iCs/>
          <w:u w:val="single"/>
        </w:rPr>
        <w:t>Applicable Law</w:t>
      </w:r>
      <w:r w:rsidRPr="00871C5E">
        <w:rPr>
          <w:rFonts w:eastAsiaTheme="minorEastAsia"/>
          <w:iCs/>
        </w:rPr>
        <w:t xml:space="preserve">. This Agreement shall be governed by and construed according to the laws of the </w:t>
      </w:r>
      <w:r w:rsidR="00803696">
        <w:rPr>
          <w:rFonts w:eastAsiaTheme="minorEastAsia"/>
          <w:iCs/>
        </w:rPr>
        <w:t>State of Maine,</w:t>
      </w:r>
      <w:r w:rsidRPr="00871C5E">
        <w:rPr>
          <w:rFonts w:eastAsiaTheme="minorEastAsia"/>
          <w:iCs/>
        </w:rPr>
        <w:t xml:space="preserve"> and this Agreement is executed as a sealed instrument under </w:t>
      </w:r>
      <w:r w:rsidR="00803696">
        <w:rPr>
          <w:rFonts w:eastAsiaTheme="minorEastAsia"/>
          <w:iCs/>
        </w:rPr>
        <w:t>Maine</w:t>
      </w:r>
      <w:r w:rsidRPr="00871C5E">
        <w:rPr>
          <w:rFonts w:eastAsiaTheme="minorEastAsia"/>
          <w:iCs/>
        </w:rPr>
        <w:t xml:space="preserve"> law.</w:t>
      </w:r>
    </w:p>
    <w:p w:rsidR="00C63AF0" w:rsidRPr="00803696" w:rsidRDefault="00C63AF0" w:rsidP="00F509FB">
      <w:pPr>
        <w:pStyle w:val="Heading1"/>
      </w:pPr>
      <w:r w:rsidRPr="00803696">
        <w:rPr>
          <w:rFonts w:eastAsiaTheme="minorEastAsia"/>
          <w:iCs/>
          <w:u w:val="single"/>
        </w:rPr>
        <w:t xml:space="preserve">Mortgage </w:t>
      </w:r>
      <w:r w:rsidR="00871C5E" w:rsidRPr="00803696">
        <w:rPr>
          <w:rFonts w:eastAsiaTheme="minorEastAsia"/>
          <w:iCs/>
          <w:u w:val="single"/>
        </w:rPr>
        <w:t>Subordinate</w:t>
      </w:r>
      <w:r w:rsidR="00871C5E" w:rsidRPr="00803696">
        <w:rPr>
          <w:rFonts w:eastAsiaTheme="minorEastAsia"/>
          <w:iCs/>
        </w:rPr>
        <w:t xml:space="preserve">. </w:t>
      </w:r>
      <w:r w:rsidRPr="00803696">
        <w:rPr>
          <w:rFonts w:eastAsiaTheme="minorEastAsia"/>
          <w:iCs/>
        </w:rPr>
        <w:t>The rights granted hereunder shall at all time be s</w:t>
      </w:r>
      <w:r w:rsidR="00DC2D31">
        <w:rPr>
          <w:rFonts w:eastAsiaTheme="minorEastAsia"/>
          <w:iCs/>
        </w:rPr>
        <w:t>uperior to any mortgages on Lot 1 or Lot 2</w:t>
      </w:r>
      <w:r w:rsidRPr="00803696">
        <w:rPr>
          <w:rFonts w:eastAsiaTheme="minorEastAsia"/>
          <w:iCs/>
        </w:rPr>
        <w:t>, including without limitation</w:t>
      </w:r>
      <w:r w:rsidR="00803696" w:rsidRPr="00803696">
        <w:rPr>
          <w:rFonts w:eastAsiaTheme="minorEastAsia"/>
          <w:iCs/>
        </w:rPr>
        <w:t>,</w:t>
      </w:r>
      <w:r w:rsidRPr="00803696">
        <w:rPr>
          <w:rFonts w:eastAsiaTheme="minorEastAsia"/>
          <w:iCs/>
        </w:rPr>
        <w:t xml:space="preserve"> a </w:t>
      </w:r>
      <w:r w:rsidR="00803696" w:rsidRPr="00803696">
        <w:rPr>
          <w:rFonts w:eastAsiaTheme="minorEastAsia"/>
          <w:iCs/>
        </w:rPr>
        <w:t>m</w:t>
      </w:r>
      <w:r w:rsidR="00AB528E">
        <w:rPr>
          <w:rFonts w:eastAsiaTheme="minorEastAsia"/>
          <w:iCs/>
        </w:rPr>
        <w:t>ortgage dated as of August 19, 2016</w:t>
      </w:r>
      <w:r w:rsidRPr="00803696">
        <w:rPr>
          <w:rFonts w:eastAsiaTheme="minorEastAsia"/>
          <w:iCs/>
        </w:rPr>
        <w:t xml:space="preserve">, from </w:t>
      </w:r>
      <w:r w:rsidR="00DC2D31">
        <w:rPr>
          <w:rFonts w:eastAsiaTheme="minorEastAsia"/>
          <w:iCs/>
        </w:rPr>
        <w:t>Portland Norwich</w:t>
      </w:r>
      <w:r w:rsidRPr="00803696">
        <w:rPr>
          <w:rFonts w:eastAsiaTheme="minorEastAsia"/>
          <w:iCs/>
        </w:rPr>
        <w:t xml:space="preserve"> to </w:t>
      </w:r>
      <w:r w:rsidR="00DC2D31">
        <w:rPr>
          <w:rFonts w:eastAsiaTheme="minorEastAsia"/>
          <w:iCs/>
        </w:rPr>
        <w:t>Bank of New Hampshire</w:t>
      </w:r>
      <w:r w:rsidR="00803696">
        <w:rPr>
          <w:rFonts w:eastAsiaTheme="minorEastAsia"/>
          <w:iCs/>
        </w:rPr>
        <w:t xml:space="preserve">, </w:t>
      </w:r>
      <w:r w:rsidRPr="00803696">
        <w:rPr>
          <w:rFonts w:eastAsiaTheme="minorEastAsia"/>
          <w:iCs/>
        </w:rPr>
        <w:t xml:space="preserve">recorded this date subsequent to the recording of this </w:t>
      </w:r>
      <w:r w:rsidR="00803696">
        <w:rPr>
          <w:rFonts w:eastAsiaTheme="minorEastAsia"/>
          <w:iCs/>
        </w:rPr>
        <w:t>Agreement</w:t>
      </w:r>
      <w:r w:rsidRPr="00803696">
        <w:rPr>
          <w:rFonts w:eastAsiaTheme="minorEastAsia"/>
          <w:iCs/>
        </w:rPr>
        <w:t>.</w:t>
      </w:r>
      <w:r w:rsidR="008B7F0C">
        <w:rPr>
          <w:rFonts w:eastAsiaTheme="minorEastAsia"/>
          <w:iCs/>
        </w:rPr>
        <w:t xml:space="preserve">  Provided, however, no mortgagee of either of Lot 1 or Lot 2 shall be subject to payment of any of the obligations under this Agreement unless and until a mortgagee shall become an owner of said Lot 1 or Lot 2, and then only for such costs and expenses actually incurred under the terms of this Agreement during the period of such mortgagee’s ownership of the respective Lot 1 or Lot 2. </w:t>
      </w:r>
    </w:p>
    <w:p w:rsidR="00803696" w:rsidRDefault="00803696" w:rsidP="00803696">
      <w:pPr>
        <w:pStyle w:val="Heading1"/>
        <w:numPr>
          <w:ilvl w:val="0"/>
          <w:numId w:val="0"/>
        </w:numPr>
      </w:pPr>
    </w:p>
    <w:p w:rsidR="00AB528E" w:rsidRDefault="00AB528E">
      <w:pPr>
        <w:rPr>
          <w:rFonts w:eastAsiaTheme="majorEastAsia" w:cs="Times New Roman"/>
          <w:bCs/>
          <w:szCs w:val="28"/>
        </w:rPr>
      </w:pPr>
      <w:r>
        <w:br w:type="page"/>
      </w:r>
    </w:p>
    <w:p w:rsidR="00803696" w:rsidRDefault="00803696" w:rsidP="00803696">
      <w:pPr>
        <w:pStyle w:val="Heading1"/>
        <w:numPr>
          <w:ilvl w:val="0"/>
          <w:numId w:val="0"/>
        </w:numPr>
      </w:pPr>
    </w:p>
    <w:p w:rsidR="00803696" w:rsidRDefault="00803696" w:rsidP="00803696">
      <w:pPr>
        <w:pStyle w:val="Heading1"/>
        <w:numPr>
          <w:ilvl w:val="0"/>
          <w:numId w:val="0"/>
        </w:numPr>
      </w:pPr>
    </w:p>
    <w:p w:rsidR="00803696" w:rsidRDefault="00803696">
      <w:pPr>
        <w:rPr>
          <w:rFonts w:eastAsiaTheme="majorEastAsia" w:cs="Times New Roman"/>
          <w:bCs/>
          <w:szCs w:val="28"/>
        </w:rPr>
      </w:pPr>
    </w:p>
    <w:p w:rsidR="00803696" w:rsidRDefault="00803696" w:rsidP="00803696">
      <w:pPr>
        <w:pStyle w:val="Heading1"/>
        <w:numPr>
          <w:ilvl w:val="0"/>
          <w:numId w:val="0"/>
        </w:numPr>
      </w:pPr>
      <w:r>
        <w:tab/>
        <w:t>Executed as a sealed instrument as of the Effective Date.</w:t>
      </w:r>
    </w:p>
    <w:p w:rsidR="00803696" w:rsidRDefault="00803696" w:rsidP="00803696">
      <w:pPr>
        <w:pStyle w:val="Heading1"/>
        <w:numPr>
          <w:ilvl w:val="0"/>
          <w:numId w:val="0"/>
        </w:numPr>
      </w:pPr>
    </w:p>
    <w:p w:rsidR="00803696" w:rsidRDefault="00803696" w:rsidP="004D1E6D">
      <w:pPr>
        <w:pStyle w:val="Heading1"/>
        <w:numPr>
          <w:ilvl w:val="0"/>
          <w:numId w:val="0"/>
        </w:numPr>
        <w:spacing w:after="0"/>
      </w:pPr>
      <w:r>
        <w:tab/>
      </w:r>
      <w:r>
        <w:tab/>
      </w:r>
      <w:r>
        <w:tab/>
      </w:r>
      <w:r>
        <w:tab/>
      </w:r>
      <w:r>
        <w:tab/>
      </w:r>
      <w:r>
        <w:tab/>
        <w:t>PORTLAND NORWICH GROUP LLC</w:t>
      </w:r>
      <w:r w:rsidR="004D1E6D">
        <w:t>,</w:t>
      </w:r>
    </w:p>
    <w:p w:rsidR="004D1E6D" w:rsidRDefault="004D1E6D" w:rsidP="004D1E6D">
      <w:pPr>
        <w:pStyle w:val="Heading1"/>
        <w:numPr>
          <w:ilvl w:val="0"/>
          <w:numId w:val="0"/>
        </w:numPr>
        <w:spacing w:after="0"/>
      </w:pPr>
      <w:r>
        <w:tab/>
      </w:r>
      <w:r>
        <w:tab/>
      </w:r>
      <w:r>
        <w:tab/>
      </w:r>
      <w:r>
        <w:tab/>
      </w:r>
      <w:r>
        <w:tab/>
      </w:r>
      <w:r>
        <w:tab/>
        <w:t>a Delaware limited liability company</w:t>
      </w:r>
    </w:p>
    <w:p w:rsidR="004D1E6D" w:rsidRDefault="004D1E6D" w:rsidP="004D1E6D">
      <w:pPr>
        <w:pStyle w:val="Heading1"/>
        <w:numPr>
          <w:ilvl w:val="0"/>
          <w:numId w:val="0"/>
        </w:numPr>
        <w:spacing w:after="0"/>
      </w:pPr>
    </w:p>
    <w:p w:rsidR="004D1E6D" w:rsidRDefault="004D1E6D" w:rsidP="004D1E6D">
      <w:pPr>
        <w:pStyle w:val="Heading1"/>
        <w:numPr>
          <w:ilvl w:val="0"/>
          <w:numId w:val="0"/>
        </w:numPr>
        <w:spacing w:after="0"/>
      </w:pPr>
    </w:p>
    <w:p w:rsidR="004D1E6D" w:rsidRDefault="004D1E6D" w:rsidP="004D1E6D">
      <w:pPr>
        <w:pStyle w:val="Heading1"/>
        <w:numPr>
          <w:ilvl w:val="0"/>
          <w:numId w:val="0"/>
        </w:numPr>
        <w:spacing w:after="0"/>
      </w:pPr>
    </w:p>
    <w:p w:rsidR="00803696" w:rsidRDefault="00803696" w:rsidP="004D1E6D">
      <w:pPr>
        <w:pStyle w:val="Heading1"/>
        <w:numPr>
          <w:ilvl w:val="0"/>
          <w:numId w:val="0"/>
        </w:numPr>
        <w:spacing w:after="0"/>
      </w:pPr>
      <w:r>
        <w:tab/>
      </w:r>
      <w:r>
        <w:tab/>
      </w:r>
      <w:r>
        <w:tab/>
      </w:r>
      <w:r>
        <w:tab/>
      </w:r>
      <w:r>
        <w:tab/>
      </w:r>
      <w:r>
        <w:tab/>
        <w:t>By: _____________________________</w:t>
      </w:r>
    </w:p>
    <w:p w:rsidR="00803696" w:rsidRDefault="00803696" w:rsidP="004D1E6D">
      <w:pPr>
        <w:pStyle w:val="Heading1"/>
        <w:numPr>
          <w:ilvl w:val="0"/>
          <w:numId w:val="0"/>
        </w:numPr>
        <w:spacing w:after="0"/>
      </w:pPr>
      <w:r>
        <w:tab/>
      </w:r>
      <w:r>
        <w:tab/>
      </w:r>
      <w:r>
        <w:tab/>
      </w:r>
      <w:r>
        <w:tab/>
      </w:r>
      <w:r>
        <w:tab/>
      </w:r>
      <w:r>
        <w:tab/>
        <w:t xml:space="preserve">Name:  David </w:t>
      </w:r>
      <w:r w:rsidR="00BA3909">
        <w:t xml:space="preserve">P. </w:t>
      </w:r>
      <w:r>
        <w:t>Leatherwood</w:t>
      </w:r>
    </w:p>
    <w:p w:rsidR="00803696" w:rsidRDefault="00803696" w:rsidP="00803696">
      <w:pPr>
        <w:pStyle w:val="Heading1"/>
        <w:numPr>
          <w:ilvl w:val="0"/>
          <w:numId w:val="0"/>
        </w:numPr>
        <w:spacing w:after="0"/>
      </w:pPr>
      <w:r>
        <w:tab/>
      </w:r>
      <w:r>
        <w:tab/>
      </w:r>
      <w:r>
        <w:tab/>
      </w:r>
      <w:r>
        <w:tab/>
      </w:r>
      <w:r>
        <w:tab/>
      </w:r>
      <w:r>
        <w:tab/>
        <w:t>Its:  Duly Authorized Representative</w:t>
      </w:r>
    </w:p>
    <w:p w:rsidR="00803696" w:rsidRDefault="00803696" w:rsidP="00803696">
      <w:pPr>
        <w:pStyle w:val="Heading1"/>
        <w:numPr>
          <w:ilvl w:val="0"/>
          <w:numId w:val="0"/>
        </w:numPr>
        <w:spacing w:after="0"/>
      </w:pPr>
    </w:p>
    <w:p w:rsidR="00803696" w:rsidRDefault="00803696" w:rsidP="00803696">
      <w:pPr>
        <w:pStyle w:val="Heading1"/>
        <w:numPr>
          <w:ilvl w:val="0"/>
          <w:numId w:val="0"/>
        </w:numPr>
        <w:spacing w:after="0"/>
      </w:pPr>
    </w:p>
    <w:p w:rsidR="00803696" w:rsidRDefault="00803696" w:rsidP="004D1E6D">
      <w:pPr>
        <w:pStyle w:val="Heading1"/>
        <w:numPr>
          <w:ilvl w:val="0"/>
          <w:numId w:val="0"/>
        </w:numPr>
        <w:spacing w:after="0"/>
      </w:pPr>
    </w:p>
    <w:p w:rsidR="00803696" w:rsidRDefault="00803696" w:rsidP="004D1E6D">
      <w:pPr>
        <w:pStyle w:val="Heading1"/>
        <w:numPr>
          <w:ilvl w:val="0"/>
          <w:numId w:val="0"/>
        </w:numPr>
        <w:spacing w:after="0"/>
      </w:pPr>
      <w:r>
        <w:tab/>
      </w:r>
      <w:r>
        <w:tab/>
      </w:r>
      <w:r>
        <w:tab/>
      </w:r>
      <w:r>
        <w:tab/>
      </w:r>
      <w:r>
        <w:tab/>
      </w:r>
      <w:r>
        <w:tab/>
      </w:r>
      <w:r w:rsidR="000F028B">
        <w:t>PORTLAND ACQUISITION</w:t>
      </w:r>
      <w:r>
        <w:t xml:space="preserve"> LLC</w:t>
      </w:r>
    </w:p>
    <w:p w:rsidR="004D1E6D" w:rsidRDefault="004D1E6D" w:rsidP="004D1E6D">
      <w:pPr>
        <w:pStyle w:val="Heading1"/>
        <w:numPr>
          <w:ilvl w:val="0"/>
          <w:numId w:val="0"/>
        </w:numPr>
        <w:spacing w:after="0"/>
        <w:ind w:left="3600" w:firstLine="720"/>
      </w:pPr>
      <w:r>
        <w:t>a Delaware limited liability company</w:t>
      </w:r>
    </w:p>
    <w:p w:rsidR="004D1E6D" w:rsidRDefault="004D1E6D" w:rsidP="004D1E6D">
      <w:pPr>
        <w:pStyle w:val="Heading1"/>
        <w:numPr>
          <w:ilvl w:val="0"/>
          <w:numId w:val="0"/>
        </w:numPr>
        <w:spacing w:after="0"/>
      </w:pPr>
    </w:p>
    <w:p w:rsidR="004D1E6D" w:rsidRDefault="004D1E6D" w:rsidP="004D1E6D">
      <w:pPr>
        <w:pStyle w:val="Heading1"/>
        <w:numPr>
          <w:ilvl w:val="0"/>
          <w:numId w:val="0"/>
        </w:numPr>
        <w:spacing w:after="0"/>
      </w:pPr>
    </w:p>
    <w:p w:rsidR="004D1E6D" w:rsidRDefault="004D1E6D" w:rsidP="004D1E6D">
      <w:pPr>
        <w:pStyle w:val="Heading1"/>
        <w:numPr>
          <w:ilvl w:val="0"/>
          <w:numId w:val="0"/>
        </w:numPr>
        <w:spacing w:after="0"/>
      </w:pPr>
    </w:p>
    <w:p w:rsidR="00803696" w:rsidRDefault="00803696" w:rsidP="004D1E6D">
      <w:pPr>
        <w:pStyle w:val="Heading1"/>
        <w:numPr>
          <w:ilvl w:val="0"/>
          <w:numId w:val="0"/>
        </w:numPr>
        <w:spacing w:after="0"/>
      </w:pPr>
      <w:r>
        <w:tab/>
      </w:r>
      <w:r>
        <w:tab/>
      </w:r>
      <w:r>
        <w:tab/>
      </w:r>
      <w:r>
        <w:tab/>
      </w:r>
      <w:r>
        <w:tab/>
      </w:r>
      <w:r>
        <w:tab/>
        <w:t>By: _____________________________</w:t>
      </w:r>
    </w:p>
    <w:p w:rsidR="00803696" w:rsidRDefault="00803696" w:rsidP="00803696">
      <w:pPr>
        <w:pStyle w:val="Heading1"/>
        <w:numPr>
          <w:ilvl w:val="0"/>
          <w:numId w:val="0"/>
        </w:numPr>
        <w:spacing w:after="0"/>
      </w:pPr>
      <w:r>
        <w:tab/>
      </w:r>
      <w:r>
        <w:tab/>
      </w:r>
      <w:r>
        <w:tab/>
      </w:r>
      <w:r>
        <w:tab/>
      </w:r>
      <w:r>
        <w:tab/>
      </w:r>
      <w:r>
        <w:tab/>
        <w:t xml:space="preserve">Name:  </w:t>
      </w:r>
      <w:r w:rsidR="00BA3909">
        <w:t>David P. Leatherwood</w:t>
      </w:r>
      <w:r>
        <w:tab/>
      </w:r>
      <w:r>
        <w:tab/>
      </w:r>
      <w:r>
        <w:tab/>
      </w:r>
      <w:r>
        <w:tab/>
      </w:r>
      <w:r>
        <w:tab/>
      </w:r>
      <w:r>
        <w:tab/>
      </w:r>
      <w:r>
        <w:tab/>
      </w:r>
      <w:r>
        <w:tab/>
      </w:r>
      <w:r w:rsidR="00BA3909">
        <w:tab/>
      </w:r>
      <w:r>
        <w:t xml:space="preserve">Its:  </w:t>
      </w:r>
      <w:r w:rsidR="00BA3909">
        <w:t>Duly Authorized Representative</w:t>
      </w:r>
    </w:p>
    <w:p w:rsidR="00803696" w:rsidRDefault="00803696" w:rsidP="00803696">
      <w:pPr>
        <w:pStyle w:val="Heading1"/>
        <w:numPr>
          <w:ilvl w:val="0"/>
          <w:numId w:val="0"/>
        </w:numPr>
        <w:spacing w:after="0"/>
      </w:pPr>
    </w:p>
    <w:p w:rsidR="00803696" w:rsidRDefault="00803696">
      <w:pPr>
        <w:rPr>
          <w:rFonts w:eastAsiaTheme="majorEastAsia" w:cs="Times New Roman"/>
          <w:bCs/>
          <w:szCs w:val="28"/>
        </w:rPr>
      </w:pPr>
      <w:r>
        <w:br w:type="page"/>
      </w:r>
    </w:p>
    <w:p w:rsidR="00803696" w:rsidRDefault="00803696" w:rsidP="00805A51">
      <w:pPr>
        <w:rPr>
          <w:rFonts w:cs="Times New Roman"/>
          <w:lang w:bidi="en-US"/>
        </w:rPr>
      </w:pPr>
      <w:r>
        <w:rPr>
          <w:rFonts w:cs="Times New Roman"/>
          <w:lang w:bidi="en-US"/>
        </w:rPr>
        <w:lastRenderedPageBreak/>
        <w:t xml:space="preserve">STATE OF </w:t>
      </w:r>
      <w:r w:rsidR="00805A51">
        <w:rPr>
          <w:rFonts w:cs="Times New Roman"/>
          <w:lang w:bidi="en-US"/>
        </w:rPr>
        <w:t>FLORIDA</w:t>
      </w:r>
    </w:p>
    <w:p w:rsidR="00803696" w:rsidRPr="000C3724" w:rsidRDefault="00803696" w:rsidP="00803696">
      <w:pPr>
        <w:jc w:val="center"/>
        <w:rPr>
          <w:rFonts w:cs="Times New Roman"/>
          <w:lang w:bidi="en-US"/>
        </w:rPr>
      </w:pPr>
    </w:p>
    <w:p w:rsidR="00803696" w:rsidRPr="000C3724" w:rsidRDefault="00803696" w:rsidP="00803696">
      <w:pPr>
        <w:rPr>
          <w:rFonts w:cs="Times New Roman"/>
          <w:lang w:bidi="en-US"/>
        </w:rPr>
      </w:pPr>
      <w:r>
        <w:rPr>
          <w:rFonts w:cs="Times New Roman"/>
          <w:lang w:bidi="en-US"/>
        </w:rPr>
        <w:t>___________ County</w:t>
      </w:r>
      <w:r w:rsidRPr="000C3724">
        <w:rPr>
          <w:rFonts w:cs="Times New Roman"/>
          <w:lang w:bidi="en-US"/>
        </w:rPr>
        <w:t xml:space="preserve"> </w:t>
      </w:r>
    </w:p>
    <w:p w:rsidR="00803696" w:rsidRPr="000C3724" w:rsidRDefault="00803696" w:rsidP="00803696">
      <w:pPr>
        <w:rPr>
          <w:rFonts w:cs="Times New Roman"/>
          <w:lang w:bidi="en-US"/>
        </w:rPr>
      </w:pPr>
    </w:p>
    <w:p w:rsidR="00803696" w:rsidRPr="000C3724" w:rsidRDefault="00803696" w:rsidP="00803696">
      <w:pPr>
        <w:ind w:firstLine="720"/>
        <w:rPr>
          <w:rFonts w:cs="Times New Roman"/>
          <w:lang w:bidi="en-US"/>
        </w:rPr>
      </w:pPr>
      <w:r w:rsidRPr="000C3724">
        <w:rPr>
          <w:rFonts w:cs="Times New Roman"/>
          <w:lang w:bidi="en-US"/>
        </w:rPr>
        <w:t xml:space="preserve">On this _____ day of </w:t>
      </w:r>
      <w:r>
        <w:rPr>
          <w:rFonts w:cs="Times New Roman"/>
          <w:lang w:bidi="en-US"/>
        </w:rPr>
        <w:t>___________</w:t>
      </w:r>
      <w:r w:rsidRPr="000C3724">
        <w:rPr>
          <w:rFonts w:cs="Times New Roman"/>
          <w:lang w:bidi="en-US"/>
        </w:rPr>
        <w:t>, 201</w:t>
      </w:r>
      <w:r>
        <w:rPr>
          <w:rFonts w:cs="Times New Roman"/>
          <w:lang w:bidi="en-US"/>
        </w:rPr>
        <w:t>6</w:t>
      </w:r>
      <w:r w:rsidRPr="000C3724">
        <w:rPr>
          <w:rFonts w:cs="Times New Roman"/>
          <w:lang w:bidi="en-US"/>
        </w:rPr>
        <w:t xml:space="preserve">, before me, the undersigned notary public, personally appeared </w:t>
      </w:r>
      <w:r>
        <w:rPr>
          <w:rFonts w:cs="Times New Roman"/>
          <w:lang w:bidi="en-US"/>
        </w:rPr>
        <w:t xml:space="preserve">David </w:t>
      </w:r>
      <w:r w:rsidR="00BA3909">
        <w:rPr>
          <w:rFonts w:cs="Times New Roman"/>
          <w:lang w:bidi="en-US"/>
        </w:rPr>
        <w:t xml:space="preserve">P. </w:t>
      </w:r>
      <w:r>
        <w:rPr>
          <w:rFonts w:cs="Times New Roman"/>
          <w:lang w:bidi="en-US"/>
        </w:rPr>
        <w:t>Leatherwood</w:t>
      </w:r>
      <w:r w:rsidRPr="000C3724">
        <w:rPr>
          <w:rFonts w:cs="Times New Roman"/>
          <w:lang w:bidi="en-US"/>
        </w:rPr>
        <w:t xml:space="preserve">, </w:t>
      </w:r>
      <w:r w:rsidR="00BA3909">
        <w:rPr>
          <w:rFonts w:cs="Times New Roman"/>
          <w:lang w:bidi="en-US"/>
        </w:rPr>
        <w:t>d</w:t>
      </w:r>
      <w:r>
        <w:rPr>
          <w:rFonts w:cs="Times New Roman"/>
          <w:lang w:bidi="en-US"/>
        </w:rPr>
        <w:t>uly authorized representative</w:t>
      </w:r>
      <w:r w:rsidRPr="000C3724">
        <w:rPr>
          <w:rFonts w:cs="Times New Roman"/>
          <w:lang w:bidi="en-US"/>
        </w:rPr>
        <w:t xml:space="preserve"> of </w:t>
      </w:r>
      <w:r>
        <w:rPr>
          <w:rFonts w:cs="Times New Roman"/>
          <w:lang w:bidi="en-US"/>
        </w:rPr>
        <w:t>Portland Norwich Group LLC</w:t>
      </w:r>
      <w:r w:rsidRPr="000C3724">
        <w:rPr>
          <w:rFonts w:cs="Times New Roman"/>
          <w:lang w:bidi="en-US"/>
        </w:rPr>
        <w:t xml:space="preserve">, proved to me through satisfactory evidence of identification, which was </w:t>
      </w:r>
      <w:r w:rsidR="00BA3909">
        <w:rPr>
          <w:rFonts w:cs="Times New Roman"/>
          <w:lang w:bidi="en-US"/>
        </w:rPr>
        <w:t>______________________</w:t>
      </w:r>
      <w:r w:rsidRPr="000C3724">
        <w:rPr>
          <w:rFonts w:cs="Times New Roman"/>
          <w:lang w:bidi="en-US"/>
        </w:rPr>
        <w:t xml:space="preserve">, to be the person whose name is signed on the foregoing instrument, and acknowledged to me that he signed it voluntarily for its stated purpose and as the free act and deed of said </w:t>
      </w:r>
      <w:r>
        <w:rPr>
          <w:rFonts w:cs="Times New Roman"/>
          <w:lang w:bidi="en-US"/>
        </w:rPr>
        <w:t>Portland Norwich Group LLC</w:t>
      </w:r>
      <w:r w:rsidRPr="000C3724">
        <w:rPr>
          <w:rFonts w:cs="Times New Roman"/>
          <w:lang w:bidi="en-US"/>
        </w:rPr>
        <w:t xml:space="preserve"> and in </w:t>
      </w:r>
      <w:r>
        <w:rPr>
          <w:rFonts w:cs="Times New Roman"/>
          <w:lang w:bidi="en-US"/>
        </w:rPr>
        <w:t>his</w:t>
      </w:r>
      <w:r w:rsidRPr="000C3724">
        <w:rPr>
          <w:rFonts w:cs="Times New Roman"/>
          <w:lang w:bidi="en-US"/>
        </w:rPr>
        <w:t xml:space="preserve"> stated capacit</w:t>
      </w:r>
      <w:r>
        <w:rPr>
          <w:rFonts w:cs="Times New Roman"/>
          <w:lang w:bidi="en-US"/>
        </w:rPr>
        <w:t>y</w:t>
      </w:r>
      <w:r w:rsidRPr="000C3724">
        <w:rPr>
          <w:rFonts w:cs="Times New Roman"/>
          <w:lang w:bidi="en-US"/>
        </w:rPr>
        <w:t xml:space="preserve"> for </w:t>
      </w:r>
      <w:r>
        <w:rPr>
          <w:rFonts w:cs="Times New Roman"/>
          <w:lang w:bidi="en-US"/>
        </w:rPr>
        <w:t>said Portland Norwich Group LLC</w:t>
      </w:r>
      <w:r w:rsidRPr="000C3724">
        <w:rPr>
          <w:rFonts w:cs="Times New Roman"/>
          <w:lang w:bidi="en-US"/>
        </w:rPr>
        <w:t>.</w:t>
      </w:r>
    </w:p>
    <w:p w:rsidR="00803696" w:rsidRPr="000C3724" w:rsidRDefault="00803696" w:rsidP="00803696">
      <w:pPr>
        <w:rPr>
          <w:rFonts w:cs="Times New Roman"/>
          <w:lang w:bidi="en-US"/>
        </w:rPr>
      </w:pPr>
    </w:p>
    <w:p w:rsidR="00803696" w:rsidRPr="000C3724" w:rsidRDefault="00803696" w:rsidP="00803696">
      <w:pPr>
        <w:rPr>
          <w:rFonts w:cs="Times New Roman"/>
          <w:lang w:bidi="en-US"/>
        </w:rPr>
      </w:pPr>
    </w:p>
    <w:p w:rsidR="00803696" w:rsidRPr="000C3724" w:rsidRDefault="00803696" w:rsidP="00803696">
      <w:pPr>
        <w:rPr>
          <w:rFonts w:cs="Times New Roman"/>
          <w:u w:val="single"/>
          <w:lang w:bidi="en-US"/>
        </w:rPr>
      </w:pP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u w:val="single"/>
          <w:lang w:bidi="en-US"/>
        </w:rPr>
        <w:tab/>
      </w:r>
      <w:r w:rsidRPr="000C3724">
        <w:rPr>
          <w:rFonts w:cs="Times New Roman"/>
          <w:u w:val="single"/>
          <w:lang w:bidi="en-US"/>
        </w:rPr>
        <w:tab/>
      </w:r>
      <w:r w:rsidRPr="000C3724">
        <w:rPr>
          <w:rFonts w:cs="Times New Roman"/>
          <w:u w:val="single"/>
          <w:lang w:bidi="en-US"/>
        </w:rPr>
        <w:tab/>
      </w:r>
      <w:r w:rsidRPr="000C3724">
        <w:rPr>
          <w:rFonts w:cs="Times New Roman"/>
          <w:u w:val="single"/>
          <w:lang w:bidi="en-US"/>
        </w:rPr>
        <w:tab/>
      </w:r>
      <w:r w:rsidRPr="000C3724">
        <w:rPr>
          <w:rFonts w:cs="Times New Roman"/>
          <w:u w:val="single"/>
          <w:lang w:bidi="en-US"/>
        </w:rPr>
        <w:tab/>
      </w:r>
      <w:r w:rsidRPr="000C3724">
        <w:rPr>
          <w:rFonts w:cs="Times New Roman"/>
          <w:u w:val="single"/>
          <w:lang w:bidi="en-US"/>
        </w:rPr>
        <w:tab/>
      </w:r>
    </w:p>
    <w:p w:rsidR="00803696" w:rsidRDefault="00803696" w:rsidP="00803696">
      <w:pPr>
        <w:rPr>
          <w:rFonts w:cs="Times New Roman"/>
          <w:lang w:bidi="en-US"/>
        </w:rPr>
      </w:pP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t>Notary Public</w:t>
      </w:r>
    </w:p>
    <w:p w:rsidR="00BA3909" w:rsidRDefault="00BA3909" w:rsidP="00803696">
      <w:pPr>
        <w:rPr>
          <w:rFonts w:cs="Times New Roman"/>
          <w:lang w:bidi="en-US"/>
        </w:rPr>
      </w:pPr>
    </w:p>
    <w:p w:rsidR="00BA3909" w:rsidRDefault="00BA3909" w:rsidP="00BA3909">
      <w:pPr>
        <w:rPr>
          <w:rFonts w:cs="Times New Roman"/>
          <w:lang w:bidi="en-US"/>
        </w:rPr>
      </w:pPr>
      <w:r>
        <w:rPr>
          <w:rFonts w:cs="Times New Roman"/>
          <w:lang w:bidi="en-US"/>
        </w:rPr>
        <w:t>[Affix Seal]</w:t>
      </w:r>
    </w:p>
    <w:p w:rsidR="00803696" w:rsidRDefault="00803696" w:rsidP="00803696">
      <w:pPr>
        <w:pStyle w:val="Heading1"/>
        <w:numPr>
          <w:ilvl w:val="0"/>
          <w:numId w:val="0"/>
        </w:numPr>
        <w:spacing w:after="0"/>
      </w:pPr>
    </w:p>
    <w:p w:rsidR="00803696" w:rsidRDefault="00803696" w:rsidP="00803696">
      <w:pPr>
        <w:pStyle w:val="Heading1"/>
        <w:numPr>
          <w:ilvl w:val="0"/>
          <w:numId w:val="0"/>
        </w:numPr>
        <w:spacing w:after="0"/>
      </w:pPr>
    </w:p>
    <w:p w:rsidR="00803696" w:rsidRDefault="00803696" w:rsidP="00803696">
      <w:pPr>
        <w:pStyle w:val="Heading1"/>
        <w:numPr>
          <w:ilvl w:val="0"/>
          <w:numId w:val="0"/>
        </w:numPr>
        <w:spacing w:after="0"/>
      </w:pPr>
    </w:p>
    <w:p w:rsidR="00803696" w:rsidRDefault="00803696" w:rsidP="00803696">
      <w:pPr>
        <w:pStyle w:val="Heading1"/>
        <w:numPr>
          <w:ilvl w:val="0"/>
          <w:numId w:val="0"/>
        </w:numPr>
        <w:spacing w:after="0"/>
      </w:pPr>
    </w:p>
    <w:p w:rsidR="00803696" w:rsidRDefault="00803696" w:rsidP="00803696">
      <w:pPr>
        <w:pStyle w:val="Heading1"/>
        <w:numPr>
          <w:ilvl w:val="0"/>
          <w:numId w:val="0"/>
        </w:numPr>
        <w:spacing w:after="0"/>
      </w:pPr>
    </w:p>
    <w:p w:rsidR="00803696" w:rsidRDefault="00803696" w:rsidP="00803696">
      <w:pPr>
        <w:pStyle w:val="Heading1"/>
        <w:numPr>
          <w:ilvl w:val="0"/>
          <w:numId w:val="0"/>
        </w:numPr>
        <w:spacing w:after="0"/>
      </w:pPr>
    </w:p>
    <w:p w:rsidR="00803696" w:rsidRDefault="00803696" w:rsidP="00805A51">
      <w:pPr>
        <w:rPr>
          <w:rFonts w:cs="Times New Roman"/>
          <w:lang w:bidi="en-US"/>
        </w:rPr>
      </w:pPr>
      <w:r>
        <w:rPr>
          <w:rFonts w:cs="Times New Roman"/>
          <w:lang w:bidi="en-US"/>
        </w:rPr>
        <w:t>STATE OF _________________</w:t>
      </w:r>
    </w:p>
    <w:p w:rsidR="00803696" w:rsidRPr="000C3724" w:rsidRDefault="00803696" w:rsidP="00803696">
      <w:pPr>
        <w:jc w:val="center"/>
        <w:rPr>
          <w:rFonts w:cs="Times New Roman"/>
          <w:lang w:bidi="en-US"/>
        </w:rPr>
      </w:pPr>
    </w:p>
    <w:p w:rsidR="00803696" w:rsidRPr="000C3724" w:rsidRDefault="00803696" w:rsidP="00803696">
      <w:pPr>
        <w:rPr>
          <w:rFonts w:cs="Times New Roman"/>
          <w:lang w:bidi="en-US"/>
        </w:rPr>
      </w:pPr>
      <w:r>
        <w:rPr>
          <w:rFonts w:cs="Times New Roman"/>
          <w:lang w:bidi="en-US"/>
        </w:rPr>
        <w:t>___________ County</w:t>
      </w:r>
      <w:r w:rsidRPr="000C3724">
        <w:rPr>
          <w:rFonts w:cs="Times New Roman"/>
          <w:lang w:bidi="en-US"/>
        </w:rPr>
        <w:t xml:space="preserve"> </w:t>
      </w:r>
    </w:p>
    <w:p w:rsidR="00803696" w:rsidRPr="000C3724" w:rsidRDefault="00803696" w:rsidP="00803696">
      <w:pPr>
        <w:rPr>
          <w:rFonts w:cs="Times New Roman"/>
          <w:lang w:bidi="en-US"/>
        </w:rPr>
      </w:pPr>
    </w:p>
    <w:p w:rsidR="00803696" w:rsidRPr="000C3724" w:rsidRDefault="00803696" w:rsidP="00803696">
      <w:pPr>
        <w:ind w:firstLine="720"/>
        <w:rPr>
          <w:rFonts w:cs="Times New Roman"/>
          <w:lang w:bidi="en-US"/>
        </w:rPr>
      </w:pPr>
      <w:r w:rsidRPr="000C3724">
        <w:rPr>
          <w:rFonts w:cs="Times New Roman"/>
          <w:lang w:bidi="en-US"/>
        </w:rPr>
        <w:t xml:space="preserve">On this _____ day of </w:t>
      </w:r>
      <w:r>
        <w:rPr>
          <w:rFonts w:cs="Times New Roman"/>
          <w:lang w:bidi="en-US"/>
        </w:rPr>
        <w:t>___________</w:t>
      </w:r>
      <w:r w:rsidRPr="000C3724">
        <w:rPr>
          <w:rFonts w:cs="Times New Roman"/>
          <w:lang w:bidi="en-US"/>
        </w:rPr>
        <w:t>, 201</w:t>
      </w:r>
      <w:r>
        <w:rPr>
          <w:rFonts w:cs="Times New Roman"/>
          <w:lang w:bidi="en-US"/>
        </w:rPr>
        <w:t>6</w:t>
      </w:r>
      <w:r w:rsidRPr="000C3724">
        <w:rPr>
          <w:rFonts w:cs="Times New Roman"/>
          <w:lang w:bidi="en-US"/>
        </w:rPr>
        <w:t xml:space="preserve">, before me, the undersigned notary public, personally appeared </w:t>
      </w:r>
      <w:r w:rsidR="00BA3909">
        <w:rPr>
          <w:rFonts w:cs="Times New Roman"/>
          <w:lang w:bidi="en-US"/>
        </w:rPr>
        <w:t>David P. Leatherwood</w:t>
      </w:r>
      <w:r w:rsidRPr="000C3724">
        <w:rPr>
          <w:rFonts w:cs="Times New Roman"/>
          <w:lang w:bidi="en-US"/>
        </w:rPr>
        <w:t xml:space="preserve">, </w:t>
      </w:r>
      <w:r>
        <w:rPr>
          <w:rFonts w:cs="Times New Roman"/>
          <w:lang w:bidi="en-US"/>
        </w:rPr>
        <w:t>duly authorized representative</w:t>
      </w:r>
      <w:r w:rsidRPr="000C3724">
        <w:rPr>
          <w:rFonts w:cs="Times New Roman"/>
          <w:lang w:bidi="en-US"/>
        </w:rPr>
        <w:t xml:space="preserve"> of </w:t>
      </w:r>
      <w:r w:rsidR="000F028B">
        <w:rPr>
          <w:rFonts w:cs="Times New Roman"/>
          <w:lang w:bidi="en-US"/>
        </w:rPr>
        <w:t>Portland Acquisition</w:t>
      </w:r>
      <w:r>
        <w:rPr>
          <w:rFonts w:cs="Times New Roman"/>
          <w:lang w:bidi="en-US"/>
        </w:rPr>
        <w:t xml:space="preserve"> LLC</w:t>
      </w:r>
      <w:r w:rsidRPr="000C3724">
        <w:rPr>
          <w:rFonts w:cs="Times New Roman"/>
          <w:lang w:bidi="en-US"/>
        </w:rPr>
        <w:t xml:space="preserve">, proved to me through satisfactory evidence of identification, which was </w:t>
      </w:r>
      <w:r w:rsidR="00BA3909">
        <w:rPr>
          <w:rFonts w:cs="Times New Roman"/>
          <w:lang w:bidi="en-US"/>
        </w:rPr>
        <w:t>______________________</w:t>
      </w:r>
      <w:r w:rsidRPr="000C3724">
        <w:rPr>
          <w:rFonts w:cs="Times New Roman"/>
          <w:lang w:bidi="en-US"/>
        </w:rPr>
        <w:t xml:space="preserve">, to be the person whose name is signed on the foregoing instrument, and acknowledged to me that he signed it voluntarily for its stated purpose and as the free act and deed of said </w:t>
      </w:r>
      <w:r w:rsidR="000F028B">
        <w:rPr>
          <w:rFonts w:cs="Times New Roman"/>
          <w:lang w:bidi="en-US"/>
        </w:rPr>
        <w:t>Portland Acquisition</w:t>
      </w:r>
      <w:r>
        <w:rPr>
          <w:rFonts w:cs="Times New Roman"/>
          <w:lang w:bidi="en-US"/>
        </w:rPr>
        <w:t xml:space="preserve"> LLC</w:t>
      </w:r>
      <w:r w:rsidRPr="000C3724">
        <w:rPr>
          <w:rFonts w:cs="Times New Roman"/>
          <w:lang w:bidi="en-US"/>
        </w:rPr>
        <w:t xml:space="preserve"> and in </w:t>
      </w:r>
      <w:r>
        <w:rPr>
          <w:rFonts w:cs="Times New Roman"/>
          <w:lang w:bidi="en-US"/>
        </w:rPr>
        <w:t>his</w:t>
      </w:r>
      <w:r w:rsidRPr="000C3724">
        <w:rPr>
          <w:rFonts w:cs="Times New Roman"/>
          <w:lang w:bidi="en-US"/>
        </w:rPr>
        <w:t xml:space="preserve"> stated capacit</w:t>
      </w:r>
      <w:r>
        <w:rPr>
          <w:rFonts w:cs="Times New Roman"/>
          <w:lang w:bidi="en-US"/>
        </w:rPr>
        <w:t>y</w:t>
      </w:r>
      <w:r w:rsidRPr="000C3724">
        <w:rPr>
          <w:rFonts w:cs="Times New Roman"/>
          <w:lang w:bidi="en-US"/>
        </w:rPr>
        <w:t xml:space="preserve"> for </w:t>
      </w:r>
      <w:r>
        <w:rPr>
          <w:rFonts w:cs="Times New Roman"/>
          <w:lang w:bidi="en-US"/>
        </w:rPr>
        <w:t xml:space="preserve">said </w:t>
      </w:r>
      <w:r w:rsidR="000F028B">
        <w:rPr>
          <w:rFonts w:cs="Times New Roman"/>
          <w:lang w:bidi="en-US"/>
        </w:rPr>
        <w:t>Portland Acquisition</w:t>
      </w:r>
      <w:r>
        <w:rPr>
          <w:rFonts w:cs="Times New Roman"/>
          <w:lang w:bidi="en-US"/>
        </w:rPr>
        <w:t xml:space="preserve"> LLC</w:t>
      </w:r>
      <w:r w:rsidRPr="000C3724">
        <w:rPr>
          <w:rFonts w:cs="Times New Roman"/>
          <w:lang w:bidi="en-US"/>
        </w:rPr>
        <w:t>.</w:t>
      </w:r>
    </w:p>
    <w:p w:rsidR="00803696" w:rsidRPr="000C3724" w:rsidRDefault="00803696" w:rsidP="00803696">
      <w:pPr>
        <w:rPr>
          <w:rFonts w:cs="Times New Roman"/>
          <w:lang w:bidi="en-US"/>
        </w:rPr>
      </w:pPr>
    </w:p>
    <w:p w:rsidR="00803696" w:rsidRPr="000C3724" w:rsidRDefault="00803696" w:rsidP="00803696">
      <w:pPr>
        <w:rPr>
          <w:rFonts w:cs="Times New Roman"/>
          <w:lang w:bidi="en-US"/>
        </w:rPr>
      </w:pPr>
    </w:p>
    <w:p w:rsidR="00803696" w:rsidRPr="000C3724" w:rsidRDefault="00803696" w:rsidP="00803696">
      <w:pPr>
        <w:rPr>
          <w:rFonts w:cs="Times New Roman"/>
          <w:u w:val="single"/>
          <w:lang w:bidi="en-US"/>
        </w:rPr>
      </w:pP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u w:val="single"/>
          <w:lang w:bidi="en-US"/>
        </w:rPr>
        <w:tab/>
      </w:r>
      <w:r w:rsidRPr="000C3724">
        <w:rPr>
          <w:rFonts w:cs="Times New Roman"/>
          <w:u w:val="single"/>
          <w:lang w:bidi="en-US"/>
        </w:rPr>
        <w:tab/>
      </w:r>
      <w:r w:rsidRPr="000C3724">
        <w:rPr>
          <w:rFonts w:cs="Times New Roman"/>
          <w:u w:val="single"/>
          <w:lang w:bidi="en-US"/>
        </w:rPr>
        <w:tab/>
      </w:r>
      <w:r w:rsidRPr="000C3724">
        <w:rPr>
          <w:rFonts w:cs="Times New Roman"/>
          <w:u w:val="single"/>
          <w:lang w:bidi="en-US"/>
        </w:rPr>
        <w:tab/>
      </w:r>
      <w:r w:rsidRPr="000C3724">
        <w:rPr>
          <w:rFonts w:cs="Times New Roman"/>
          <w:u w:val="single"/>
          <w:lang w:bidi="en-US"/>
        </w:rPr>
        <w:tab/>
      </w:r>
      <w:r w:rsidRPr="000C3724">
        <w:rPr>
          <w:rFonts w:cs="Times New Roman"/>
          <w:u w:val="single"/>
          <w:lang w:bidi="en-US"/>
        </w:rPr>
        <w:tab/>
      </w:r>
    </w:p>
    <w:p w:rsidR="00803696" w:rsidRDefault="00803696" w:rsidP="00803696">
      <w:pPr>
        <w:rPr>
          <w:rFonts w:cs="Times New Roman"/>
          <w:lang w:bidi="en-US"/>
        </w:rPr>
      </w:pP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r>
      <w:r w:rsidRPr="000C3724">
        <w:rPr>
          <w:rFonts w:cs="Times New Roman"/>
          <w:lang w:bidi="en-US"/>
        </w:rPr>
        <w:tab/>
        <w:t>Notary Public</w:t>
      </w:r>
    </w:p>
    <w:p w:rsidR="00803696" w:rsidRDefault="00BA3909" w:rsidP="00803696">
      <w:pPr>
        <w:rPr>
          <w:rFonts w:cs="Times New Roman"/>
          <w:lang w:bidi="en-US"/>
        </w:rPr>
      </w:pPr>
      <w:r>
        <w:rPr>
          <w:rFonts w:cs="Times New Roman"/>
          <w:lang w:bidi="en-US"/>
        </w:rPr>
        <w:t>[Affix Seal]</w:t>
      </w:r>
    </w:p>
    <w:p w:rsidR="00803696" w:rsidRDefault="00803696" w:rsidP="00803696">
      <w:pPr>
        <w:rPr>
          <w:rFonts w:cs="Times New Roman"/>
          <w:lang w:bidi="en-US"/>
        </w:rPr>
      </w:pPr>
    </w:p>
    <w:p w:rsidR="00803696" w:rsidRDefault="00803696" w:rsidP="00803696">
      <w:pPr>
        <w:rPr>
          <w:rFonts w:cs="Times New Roman"/>
          <w:lang w:bidi="en-US"/>
        </w:rPr>
      </w:pPr>
    </w:p>
    <w:p w:rsidR="00803696" w:rsidRDefault="00803696">
      <w:pPr>
        <w:rPr>
          <w:rFonts w:cs="Times New Roman"/>
          <w:lang w:bidi="en-US"/>
        </w:rPr>
      </w:pPr>
      <w:r>
        <w:rPr>
          <w:rFonts w:cs="Times New Roman"/>
          <w:lang w:bidi="en-US"/>
        </w:rPr>
        <w:br w:type="page"/>
      </w:r>
    </w:p>
    <w:p w:rsidR="00803696" w:rsidRDefault="00803696" w:rsidP="00803696">
      <w:pPr>
        <w:jc w:val="center"/>
        <w:rPr>
          <w:rFonts w:cs="Times New Roman"/>
          <w:lang w:bidi="en-US"/>
        </w:rPr>
      </w:pPr>
      <w:r>
        <w:rPr>
          <w:rFonts w:cs="Times New Roman"/>
          <w:lang w:bidi="en-US"/>
        </w:rPr>
        <w:lastRenderedPageBreak/>
        <w:t>EXHIBIT A</w:t>
      </w:r>
    </w:p>
    <w:p w:rsidR="00803696" w:rsidRDefault="00803696" w:rsidP="00803696">
      <w:pPr>
        <w:jc w:val="center"/>
        <w:rPr>
          <w:rFonts w:cs="Times New Roman"/>
          <w:lang w:bidi="en-US"/>
        </w:rPr>
      </w:pPr>
    </w:p>
    <w:p w:rsidR="00803696" w:rsidRDefault="00EE14C2" w:rsidP="00803696">
      <w:pPr>
        <w:jc w:val="center"/>
        <w:rPr>
          <w:rFonts w:cs="Times New Roman"/>
          <w:u w:val="single"/>
          <w:lang w:bidi="en-US"/>
        </w:rPr>
      </w:pPr>
      <w:r>
        <w:rPr>
          <w:rFonts w:cs="Times New Roman"/>
          <w:u w:val="single"/>
          <w:lang w:bidi="en-US"/>
        </w:rPr>
        <w:t>Copy of Easement Plan</w:t>
      </w:r>
    </w:p>
    <w:p w:rsidR="00803696" w:rsidRDefault="00803696" w:rsidP="00803696">
      <w:pPr>
        <w:rPr>
          <w:rFonts w:cs="Times New Roman"/>
          <w:u w:val="single"/>
          <w:lang w:bidi="en-US"/>
        </w:rPr>
      </w:pPr>
    </w:p>
    <w:p w:rsidR="00803696" w:rsidRDefault="00803696" w:rsidP="00803696">
      <w:pPr>
        <w:rPr>
          <w:rFonts w:cs="Times New Roman"/>
          <w:u w:val="single"/>
          <w:lang w:bidi="en-US"/>
        </w:rPr>
      </w:pPr>
    </w:p>
    <w:p w:rsidR="00803696" w:rsidRDefault="00803696" w:rsidP="00803696">
      <w:pPr>
        <w:rPr>
          <w:rFonts w:cs="Times New Roman"/>
          <w:u w:val="single"/>
          <w:lang w:bidi="en-US"/>
        </w:rPr>
      </w:pPr>
    </w:p>
    <w:p w:rsidR="00803696" w:rsidRDefault="00803696" w:rsidP="00803696">
      <w:pPr>
        <w:rPr>
          <w:rFonts w:cs="Times New Roman"/>
          <w:u w:val="single"/>
          <w:lang w:bidi="en-US"/>
        </w:rPr>
      </w:pPr>
    </w:p>
    <w:p w:rsidR="00803696" w:rsidRDefault="00803696" w:rsidP="00803696">
      <w:pPr>
        <w:rPr>
          <w:rFonts w:cs="Times New Roman"/>
          <w:u w:val="single"/>
          <w:lang w:bidi="en-US"/>
        </w:rPr>
      </w:pPr>
    </w:p>
    <w:p w:rsidR="00803696" w:rsidRDefault="00803696" w:rsidP="00803696">
      <w:pPr>
        <w:rPr>
          <w:rFonts w:cs="Times New Roman"/>
          <w:u w:val="single"/>
          <w:lang w:bidi="en-US"/>
        </w:rPr>
      </w:pPr>
    </w:p>
    <w:p w:rsidR="00803696" w:rsidRDefault="00803696" w:rsidP="00803696">
      <w:pPr>
        <w:rPr>
          <w:rFonts w:cs="Times New Roman"/>
          <w:u w:val="single"/>
          <w:lang w:bidi="en-US"/>
        </w:rPr>
      </w:pPr>
    </w:p>
    <w:p w:rsidR="00803696" w:rsidRDefault="00803696">
      <w:pPr>
        <w:rPr>
          <w:rFonts w:cs="Times New Roman"/>
          <w:u w:val="single"/>
          <w:lang w:bidi="en-US"/>
        </w:rPr>
      </w:pPr>
      <w:r>
        <w:rPr>
          <w:rFonts w:cs="Times New Roman"/>
          <w:u w:val="single"/>
          <w:lang w:bidi="en-US"/>
        </w:rPr>
        <w:br w:type="page"/>
      </w:r>
    </w:p>
    <w:p w:rsidR="00803696" w:rsidRDefault="00EE14C2" w:rsidP="00803696">
      <w:pPr>
        <w:jc w:val="center"/>
        <w:rPr>
          <w:rFonts w:cs="Times New Roman"/>
          <w:lang w:bidi="en-US"/>
        </w:rPr>
      </w:pPr>
      <w:r>
        <w:rPr>
          <w:rFonts w:cs="Times New Roman"/>
          <w:lang w:bidi="en-US"/>
        </w:rPr>
        <w:lastRenderedPageBreak/>
        <w:t>EXHIBIT A-1</w:t>
      </w:r>
    </w:p>
    <w:p w:rsidR="00803696" w:rsidRDefault="00803696" w:rsidP="00803696">
      <w:pPr>
        <w:jc w:val="center"/>
        <w:rPr>
          <w:rFonts w:cs="Times New Roman"/>
          <w:lang w:bidi="en-US"/>
        </w:rPr>
      </w:pPr>
    </w:p>
    <w:p w:rsidR="00803696" w:rsidRDefault="00803696" w:rsidP="00803696">
      <w:pPr>
        <w:jc w:val="center"/>
        <w:rPr>
          <w:rFonts w:cs="Times New Roman"/>
          <w:u w:val="single"/>
          <w:lang w:bidi="en-US"/>
        </w:rPr>
      </w:pPr>
      <w:r>
        <w:rPr>
          <w:rFonts w:cs="Times New Roman"/>
          <w:u w:val="single"/>
          <w:lang w:bidi="en-US"/>
        </w:rPr>
        <w:t xml:space="preserve">Description of </w:t>
      </w:r>
      <w:r w:rsidR="00EE14C2">
        <w:rPr>
          <w:rFonts w:cs="Times New Roman"/>
          <w:u w:val="single"/>
          <w:lang w:bidi="en-US"/>
        </w:rPr>
        <w:t>Lot 1 Easement Area</w:t>
      </w:r>
    </w:p>
    <w:p w:rsidR="00EE14C2" w:rsidRDefault="00EE14C2" w:rsidP="00803696">
      <w:pPr>
        <w:jc w:val="center"/>
        <w:rPr>
          <w:rFonts w:cs="Times New Roman"/>
          <w:u w:val="single"/>
          <w:lang w:bidi="en-US"/>
        </w:rPr>
      </w:pPr>
    </w:p>
    <w:p w:rsidR="00DC2D31" w:rsidRPr="00EE14C2" w:rsidRDefault="00DC2D31" w:rsidP="00EE14C2">
      <w:pPr>
        <w:rPr>
          <w:rFonts w:cs="Times New Roman"/>
          <w:lang w:bidi="en-US"/>
        </w:rPr>
      </w:pPr>
    </w:p>
    <w:p w:rsidR="00803696" w:rsidRDefault="00803696" w:rsidP="00803696">
      <w:pPr>
        <w:rPr>
          <w:rFonts w:cs="Times New Roman"/>
          <w:u w:val="single"/>
          <w:lang w:bidi="en-US"/>
        </w:rPr>
      </w:pPr>
    </w:p>
    <w:p w:rsidR="00803696" w:rsidRDefault="00803696" w:rsidP="00803696">
      <w:pPr>
        <w:rPr>
          <w:rFonts w:cs="Times New Roman"/>
          <w:u w:val="single"/>
          <w:lang w:bidi="en-US"/>
        </w:rPr>
      </w:pPr>
    </w:p>
    <w:p w:rsidR="00803696" w:rsidRDefault="00803696" w:rsidP="00803696">
      <w:pPr>
        <w:rPr>
          <w:rFonts w:cs="Times New Roman"/>
          <w:u w:val="single"/>
          <w:lang w:bidi="en-US"/>
        </w:rPr>
      </w:pPr>
    </w:p>
    <w:p w:rsidR="00803696" w:rsidRDefault="00803696" w:rsidP="00803696">
      <w:pPr>
        <w:rPr>
          <w:rFonts w:cs="Times New Roman"/>
          <w:u w:val="single"/>
          <w:lang w:bidi="en-US"/>
        </w:rPr>
      </w:pPr>
    </w:p>
    <w:p w:rsidR="00803696" w:rsidRDefault="00803696" w:rsidP="00803696">
      <w:pPr>
        <w:rPr>
          <w:rFonts w:cs="Times New Roman"/>
          <w:u w:val="single"/>
          <w:lang w:bidi="en-US"/>
        </w:rPr>
      </w:pPr>
    </w:p>
    <w:p w:rsidR="00803696" w:rsidRDefault="00803696" w:rsidP="00803696">
      <w:pPr>
        <w:rPr>
          <w:rFonts w:cs="Times New Roman"/>
          <w:u w:val="single"/>
          <w:lang w:bidi="en-US"/>
        </w:rPr>
      </w:pPr>
    </w:p>
    <w:p w:rsidR="00803696" w:rsidRDefault="00803696" w:rsidP="00803696">
      <w:pPr>
        <w:rPr>
          <w:rFonts w:cs="Times New Roman"/>
          <w:u w:val="single"/>
          <w:lang w:bidi="en-US"/>
        </w:rPr>
      </w:pPr>
    </w:p>
    <w:p w:rsidR="00803696" w:rsidRDefault="00803696" w:rsidP="00803696">
      <w:pPr>
        <w:rPr>
          <w:rFonts w:cs="Times New Roman"/>
          <w:u w:val="single"/>
          <w:lang w:bidi="en-US"/>
        </w:rPr>
      </w:pPr>
    </w:p>
    <w:p w:rsidR="00803696" w:rsidRDefault="00803696" w:rsidP="00803696">
      <w:pPr>
        <w:rPr>
          <w:rFonts w:cs="Times New Roman"/>
          <w:u w:val="single"/>
          <w:lang w:bidi="en-US"/>
        </w:rPr>
      </w:pPr>
    </w:p>
    <w:p w:rsidR="00803696" w:rsidRDefault="00803696">
      <w:pPr>
        <w:rPr>
          <w:rFonts w:cs="Times New Roman"/>
          <w:u w:val="single"/>
          <w:lang w:bidi="en-US"/>
        </w:rPr>
      </w:pPr>
      <w:r>
        <w:rPr>
          <w:rFonts w:cs="Times New Roman"/>
          <w:u w:val="single"/>
          <w:lang w:bidi="en-US"/>
        </w:rPr>
        <w:br w:type="page"/>
      </w:r>
    </w:p>
    <w:p w:rsidR="00EE14C2" w:rsidRDefault="00EE14C2" w:rsidP="00EE14C2">
      <w:pPr>
        <w:jc w:val="center"/>
        <w:rPr>
          <w:rFonts w:cs="Times New Roman"/>
          <w:lang w:bidi="en-US"/>
        </w:rPr>
      </w:pPr>
      <w:r>
        <w:rPr>
          <w:rFonts w:cs="Times New Roman"/>
          <w:lang w:bidi="en-US"/>
        </w:rPr>
        <w:lastRenderedPageBreak/>
        <w:t>EXHIBIT A-2</w:t>
      </w:r>
    </w:p>
    <w:p w:rsidR="00EE14C2" w:rsidRDefault="00EE14C2" w:rsidP="00EE14C2">
      <w:pPr>
        <w:jc w:val="center"/>
        <w:rPr>
          <w:rFonts w:cs="Times New Roman"/>
          <w:lang w:bidi="en-US"/>
        </w:rPr>
      </w:pPr>
    </w:p>
    <w:p w:rsidR="00EE14C2" w:rsidRDefault="00EE14C2" w:rsidP="00EE14C2">
      <w:pPr>
        <w:jc w:val="center"/>
        <w:rPr>
          <w:rFonts w:cs="Times New Roman"/>
          <w:u w:val="single"/>
          <w:lang w:bidi="en-US"/>
        </w:rPr>
      </w:pPr>
      <w:r>
        <w:rPr>
          <w:rFonts w:cs="Times New Roman"/>
          <w:u w:val="single"/>
          <w:lang w:bidi="en-US"/>
        </w:rPr>
        <w:t>Description of Lot 2 Easement Area</w:t>
      </w:r>
    </w:p>
    <w:p w:rsidR="00803696" w:rsidRDefault="00803696" w:rsidP="00803696">
      <w:pPr>
        <w:rPr>
          <w:rFonts w:cs="Times New Roman"/>
          <w:u w:val="single"/>
          <w:lang w:bidi="en-US"/>
        </w:rPr>
      </w:pPr>
    </w:p>
    <w:p w:rsidR="00803696" w:rsidRPr="00871C5E" w:rsidRDefault="00803696" w:rsidP="00803696">
      <w:pPr>
        <w:pStyle w:val="Heading1"/>
        <w:numPr>
          <w:ilvl w:val="0"/>
          <w:numId w:val="0"/>
        </w:numPr>
        <w:spacing w:after="0"/>
      </w:pPr>
    </w:p>
    <w:sectPr w:rsidR="00803696" w:rsidRPr="00871C5E" w:rsidSect="00C63AF0">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C70" w:rsidRDefault="00137C70" w:rsidP="009A2CBA">
      <w:r>
        <w:separator/>
      </w:r>
    </w:p>
  </w:endnote>
  <w:endnote w:type="continuationSeparator" w:id="0">
    <w:p w:rsidR="00137C70" w:rsidRDefault="00137C70"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70" w:rsidRDefault="00137C70" w:rsidP="00C63AF0">
    <w:pPr>
      <w:pStyle w:val="Footer"/>
    </w:pPr>
    <w:r>
      <w:tab/>
    </w:r>
    <w:r>
      <w:fldChar w:fldCharType="begin"/>
    </w:r>
    <w:r>
      <w:instrText xml:space="preserve"> PAGE   \* MERGEFORMAT </w:instrText>
    </w:r>
    <w:r>
      <w:fldChar w:fldCharType="separate"/>
    </w:r>
    <w:r w:rsidR="00DA49AA">
      <w:rPr>
        <w:noProof/>
      </w:rPr>
      <w:t>7</w:t>
    </w:r>
    <w:r>
      <w:rPr>
        <w:noProof/>
      </w:rPr>
      <w:fldChar w:fldCharType="end"/>
    </w:r>
  </w:p>
  <w:p w:rsidR="00137C70" w:rsidRPr="00911FE4" w:rsidRDefault="00F654CC" w:rsidP="00C63AF0">
    <w:pPr>
      <w:pStyle w:val="Footer"/>
      <w:rPr>
        <w:rStyle w:val="DocID"/>
      </w:rPr>
    </w:pPr>
    <w:fldSimple w:instr=" DOCPROPERTY &quot;DOCID&quot; \* MERGEFORMAT ">
      <w:r w:rsidR="00E57455" w:rsidRPr="00E57455">
        <w:rPr>
          <w:rStyle w:val="DocID"/>
        </w:rPr>
        <w:t>#39947177_v3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70" w:rsidRPr="00911FE4" w:rsidRDefault="00137C70" w:rsidP="00C63AF0">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DA49AA">
      <w:rPr>
        <w:noProof/>
        <w:sz w:val="20"/>
      </w:rPr>
      <w:instrText>12</w:instrText>
    </w:r>
    <w:r>
      <w:rPr>
        <w:sz w:val="20"/>
      </w:rPr>
      <w:fldChar w:fldCharType="end"/>
    </w:r>
    <w:r>
      <w:rPr>
        <w:sz w:val="20"/>
      </w:rPr>
      <w:instrText xml:space="preserve"> = 1 </w:instrText>
    </w:r>
    <w:fldSimple w:instr=" DOCPROPERTY &quot;DOCID&quot; \* MERGEFORMAT ">
      <w:r w:rsidRPr="00E57455">
        <w:rPr>
          <w:rStyle w:val="DocID"/>
        </w:rPr>
        <w:instrText>#39947177_v2</w:instrText>
      </w:r>
    </w:fldSimple>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C70" w:rsidRDefault="00137C70" w:rsidP="009A2CBA">
      <w:r>
        <w:separator/>
      </w:r>
    </w:p>
  </w:footnote>
  <w:footnote w:type="continuationSeparator" w:id="0">
    <w:p w:rsidR="00137C70" w:rsidRDefault="00137C70" w:rsidP="009A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70" w:rsidRDefault="00137C70" w:rsidP="00C021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7144E2"/>
    <w:multiLevelType w:val="hybridMultilevel"/>
    <w:tmpl w:val="5DC483A4"/>
    <w:lvl w:ilvl="0" w:tplc="73A4BDF0">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51E84"/>
    <w:multiLevelType w:val="multilevel"/>
    <w:tmpl w:val="D0F84168"/>
    <w:name w:val="General Numbering (1a)-Scheme 1"/>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color w:val="010000"/>
        <w:u w:val="none"/>
      </w:rPr>
    </w:lvl>
    <w:lvl w:ilvl="2">
      <w:start w:val="1"/>
      <w:numFmt w:val="lowerRoman"/>
      <w:pStyle w:val="Heading3"/>
      <w:lvlText w:val="(%3)"/>
      <w:lvlJc w:val="left"/>
      <w:pPr>
        <w:tabs>
          <w:tab w:val="num" w:pos="2880"/>
        </w:tabs>
        <w:ind w:left="0" w:firstLine="2160"/>
      </w:pPr>
      <w:rPr>
        <w:color w:val="010000"/>
        <w:u w:val="none"/>
      </w:rPr>
    </w:lvl>
    <w:lvl w:ilvl="3">
      <w:start w:val="1"/>
      <w:numFmt w:val="decimal"/>
      <w:pStyle w:val="Heading4"/>
      <w:lvlText w:val="(%4)"/>
      <w:lvlJc w:val="left"/>
      <w:pPr>
        <w:tabs>
          <w:tab w:val="num" w:pos="3600"/>
        </w:tabs>
        <w:ind w:left="0" w:firstLine="2880"/>
      </w:pPr>
      <w:rPr>
        <w:color w:val="010000"/>
        <w:u w:val="none"/>
      </w:rPr>
    </w:lvl>
    <w:lvl w:ilvl="4">
      <w:start w:val="1"/>
      <w:numFmt w:val="lowerLetter"/>
      <w:pStyle w:val="Heading5"/>
      <w:lvlText w:val="%5."/>
      <w:lvlJc w:val="left"/>
      <w:pPr>
        <w:tabs>
          <w:tab w:val="num" w:pos="4320"/>
        </w:tabs>
        <w:ind w:left="0" w:firstLine="3600"/>
      </w:pPr>
      <w:rPr>
        <w:color w:val="010000"/>
        <w:u w:val="none"/>
      </w:rPr>
    </w:lvl>
    <w:lvl w:ilvl="5">
      <w:start w:val="1"/>
      <w:numFmt w:val="lowerRoman"/>
      <w:pStyle w:val="Heading6"/>
      <w:lvlText w:val="%6."/>
      <w:lvlJc w:val="left"/>
      <w:pPr>
        <w:tabs>
          <w:tab w:val="num" w:pos="5040"/>
        </w:tabs>
        <w:ind w:left="0" w:firstLine="4320"/>
      </w:pPr>
      <w:rPr>
        <w:color w:val="010000"/>
        <w:u w:val="none"/>
      </w:rPr>
    </w:lvl>
    <w:lvl w:ilvl="6">
      <w:start w:val="1"/>
      <w:numFmt w:val="decimal"/>
      <w:pStyle w:val="Heading7"/>
      <w:lvlText w:val="%7)"/>
      <w:lvlJc w:val="left"/>
      <w:pPr>
        <w:tabs>
          <w:tab w:val="num" w:pos="5760"/>
        </w:tabs>
        <w:ind w:left="0" w:firstLine="5040"/>
      </w:pPr>
      <w:rPr>
        <w:color w:val="010000"/>
        <w:u w:val="none"/>
      </w:rPr>
    </w:lvl>
    <w:lvl w:ilvl="7">
      <w:start w:val="1"/>
      <w:numFmt w:val="lowerLetter"/>
      <w:pStyle w:val="Heading8"/>
      <w:lvlText w:val="%8)"/>
      <w:lvlJc w:val="left"/>
      <w:pPr>
        <w:tabs>
          <w:tab w:val="num" w:pos="6480"/>
        </w:tabs>
        <w:ind w:left="0" w:firstLine="5760"/>
      </w:pPr>
      <w:rPr>
        <w:color w:val="010000"/>
        <w:u w:val="none"/>
      </w:rPr>
    </w:lvl>
    <w:lvl w:ilvl="8">
      <w:start w:val="1"/>
      <w:numFmt w:val="lowerRoman"/>
      <w:pStyle w:val="Heading9"/>
      <w:lvlText w:val="%9)"/>
      <w:lvlJc w:val="left"/>
      <w:pPr>
        <w:tabs>
          <w:tab w:val="num" w:pos="7200"/>
        </w:tabs>
        <w:ind w:left="0" w:firstLine="6480"/>
      </w:pPr>
      <w:rPr>
        <w:color w:val="010000"/>
        <w:u w:val="none"/>
      </w:rPr>
    </w:lvl>
  </w:abstractNum>
  <w:abstractNum w:abstractNumId="17"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53DE5"/>
    <w:multiLevelType w:val="hybridMultilevel"/>
    <w:tmpl w:val="8B84C032"/>
    <w:lvl w:ilvl="0" w:tplc="78CCAF72">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0"/>
  </w:num>
  <w:num w:numId="4">
    <w:abstractNumId w:val="11"/>
  </w:num>
  <w:num w:numId="5">
    <w:abstractNumId w:val="26"/>
  </w:num>
  <w:num w:numId="6">
    <w:abstractNumId w:val="21"/>
  </w:num>
  <w:num w:numId="7">
    <w:abstractNumId w:val="19"/>
  </w:num>
  <w:num w:numId="8">
    <w:abstractNumId w:val="31"/>
  </w:num>
  <w:num w:numId="9">
    <w:abstractNumId w:val="20"/>
  </w:num>
  <w:num w:numId="10">
    <w:abstractNumId w:val="8"/>
  </w:num>
  <w:num w:numId="11">
    <w:abstractNumId w:val="7"/>
  </w:num>
  <w:num w:numId="12">
    <w:abstractNumId w:val="9"/>
  </w:num>
  <w:num w:numId="13">
    <w:abstractNumId w:val="17"/>
  </w:num>
  <w:num w:numId="14">
    <w:abstractNumId w:val="25"/>
  </w:num>
  <w:num w:numId="15">
    <w:abstractNumId w:val="28"/>
  </w:num>
  <w:num w:numId="16">
    <w:abstractNumId w:val="29"/>
  </w:num>
  <w:num w:numId="17">
    <w:abstractNumId w:val="23"/>
  </w:num>
  <w:num w:numId="18">
    <w:abstractNumId w:val="10"/>
  </w:num>
  <w:num w:numId="19">
    <w:abstractNumId w:val="27"/>
  </w:num>
  <w:num w:numId="20">
    <w:abstractNumId w:val="30"/>
  </w:num>
  <w:num w:numId="21">
    <w:abstractNumId w:val="22"/>
  </w:num>
  <w:num w:numId="22">
    <w:abstractNumId w:val="32"/>
  </w:num>
  <w:num w:numId="23">
    <w:abstractNumId w:val="14"/>
  </w:num>
  <w:num w:numId="24">
    <w:abstractNumId w:val="13"/>
  </w:num>
  <w:num w:numId="25">
    <w:abstractNumId w:val="15"/>
  </w:num>
  <w:num w:numId="26">
    <w:abstractNumId w:val="6"/>
  </w:num>
  <w:num w:numId="27">
    <w:abstractNumId w:val="4"/>
  </w:num>
  <w:num w:numId="28">
    <w:abstractNumId w:val="3"/>
  </w:num>
  <w:num w:numId="29">
    <w:abstractNumId w:val="2"/>
  </w:num>
  <w:num w:numId="30">
    <w:abstractNumId w:val="1"/>
  </w:num>
  <w:num w:numId="31">
    <w:abstractNumId w:val="16"/>
  </w:num>
  <w:num w:numId="32">
    <w:abstractNumId w:val="18"/>
  </w:num>
  <w:num w:numId="33">
    <w:abstractNumId w:val="16"/>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2"/>
  </w:num>
  <w:num w:numId="38">
    <w:abstractNumId w:val="16"/>
  </w:num>
  <w:num w:numId="39">
    <w:abstractNumId w:val="16"/>
  </w:num>
  <w:num w:numId="40">
    <w:abstractNumId w:val="1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5-05-14T14:41:48&lt;/LastUpdated&gt;&lt;NumberingSchemeID&gt;140&lt;/NumberingSchemeID&gt;&lt;SortOrder&gt;0&lt;/SortOrder&gt;&lt;Name&gt;General Numbering (1a)&lt;/Name&gt;&lt;NameFrench&gt;Numérotation générale (1a)&lt;/NameFrench&gt;&lt;Description&gt;Similar to General numbering 1 except the first level of numbering begins at .5&quot; instead of at left margin.&lt;/Description&gt;&lt;DescriptionFrench&gt;Comme la règle de numérotation générale 1, sauf que le premier niveau de numérotation débute à 1,27 cm, et non au niveau de la marge de gauche.&lt;/DescriptionFrench&gt;&lt;FilterID&gt;5&lt;/FilterID&gt;&lt;FilterArray&gt;5&lt;/FilterArray&gt;&lt;DefaultNumberOfLevelsInTOC&gt;3&lt;/DefaultNumberOfLevelsInTOC&gt;&lt;CustomTOCAttached&gt;false&lt;/CustomTOCAttached&gt;&lt;DefaultTOCSchemeID&gt;0&lt;/DefaultTOCSchemeID&gt;&lt;BitMapID&gt;508&lt;/BitMapID&gt;&lt;Hidden&gt;false&lt;/Hidden&gt;&lt;ListIndexUsed&gt;0&lt;/ListIndexUsed&gt;&lt;CapturedDocument&gt;\\pcgserver\PcgStaff\MichelleGuyot\Numbering Assistant\2013\New Scheme\General Numbering (1a).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gt;&lt;NumberingSchemeOption&gt;&lt;LastUpdated&gt;0001-01-01T00:00:00&lt;/LastUpdated&gt;&lt;NumberingScheme_OptionID&gt;556&lt;/NumberingScheme_OptionID&gt;&lt;NumberingSchemeID&gt;140&lt;/NumberingSchemeID&gt;&lt;OptionID&gt;0&lt;/OptionID&gt;&lt;Code&gt;AutoNumbering&lt;/Code&gt;&lt;Value&gt;0&lt;/Value&gt;&lt;SortOrder&gt;0&lt;/SortOrder&gt;&lt;MutuallyExclusive1&gt;false&lt;/MutuallyExclusive1&gt;&lt;MutuallyExclusive2&gt;false&lt;/MutuallyExclusive2&gt;&lt;MutuallyExclusive3&gt;false&lt;/MutuallyExclusive3&gt;&lt;/NumberingSchemeOption&gt;&lt;NumberingSchemeOption&gt;&lt;LastUpdated&gt;0001-01-01T00:00:00&lt;/LastUpdated&gt;&lt;NumberingScheme_OptionID&gt;558&lt;/NumberingScheme_OptionID&gt;&lt;NumberingSchemeID&gt;140&lt;/NumberingSchemeID&gt;&lt;OptionID&gt;0&lt;/OptionID&gt;&lt;Code&gt;RemoveHangingIndents&lt;/Code&gt;&lt;Value&gt;0&lt;/Value&gt;&lt;SortOrder&gt;0&lt;/SortOrder&gt;&lt;MutuallyExclusive1&gt;false&lt;/MutuallyExclusive1&gt;&lt;MutuallyExclusive2&gt;false&lt;/MutuallyExclusive2&gt;&lt;MutuallyExclusive3&gt;false&lt;/MutuallyExclusive3&gt;&lt;/NumberingSchemeOption&gt;&lt;NumberingSchemeOption&gt;&lt;LastUpdated&gt;0001-01-01T00:00:00&lt;/LastUpdated&gt;&lt;NumberingScheme_OptionID&gt;555&lt;/NumberingScheme_OptionID&gt;&lt;NumberingSchemeID&gt;140&lt;/NumberingSchemeID&gt;&lt;OptionID&gt;0&lt;/OptionID&gt;&lt;Code&gt;ApplyFullJustification&lt;/Code&gt;&lt;Value&gt;0&lt;/Value&gt;&lt;SortOrder&gt;0&lt;/SortOrder&gt;&lt;MutuallyExclusive1&gt;false&lt;/MutuallyExclusive1&gt;&lt;MutuallyExclusive2&gt;false&lt;/MutuallyExclusive2&gt;&lt;MutuallyExclusive3&gt;false&lt;/MutuallyExclusive3&gt;&lt;/NumberingSchemeOption&gt;&lt;/SelectedNumberingSchemeOptions&gt;&lt;Index&gt;1&lt;/Index&gt;&lt;/AddedNumberingScheme&gt;&lt;/ArrayOfAddedNumberingScheme&gt;"/>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 w:name="EnforceSchemeFont" w:val="False"/>
    <w:docVar w:name="LastSchemeChoice" w:val="General Numbering (1a)"/>
    <w:docVar w:name="LastSchemeUniqueID" w:val="140"/>
    <w:docVar w:name="LegacyDocIDRemoved" w:val="True"/>
    <w:docVar w:name="LegacyNa" w:val="False"/>
  </w:docVars>
  <w:rsids>
    <w:rsidRoot w:val="00C63AF0"/>
    <w:rsid w:val="000175DA"/>
    <w:rsid w:val="00023AE3"/>
    <w:rsid w:val="00027FC3"/>
    <w:rsid w:val="00032CC2"/>
    <w:rsid w:val="000421B5"/>
    <w:rsid w:val="00050264"/>
    <w:rsid w:val="000555C6"/>
    <w:rsid w:val="00063822"/>
    <w:rsid w:val="00070824"/>
    <w:rsid w:val="00093043"/>
    <w:rsid w:val="000A4BA4"/>
    <w:rsid w:val="000F028B"/>
    <w:rsid w:val="000F6911"/>
    <w:rsid w:val="0011204E"/>
    <w:rsid w:val="001156AF"/>
    <w:rsid w:val="00137C70"/>
    <w:rsid w:val="001963BC"/>
    <w:rsid w:val="001D1B70"/>
    <w:rsid w:val="0020597A"/>
    <w:rsid w:val="00212EF4"/>
    <w:rsid w:val="002348A5"/>
    <w:rsid w:val="00243FF8"/>
    <w:rsid w:val="00245A67"/>
    <w:rsid w:val="00246D22"/>
    <w:rsid w:val="002630F7"/>
    <w:rsid w:val="0032421A"/>
    <w:rsid w:val="003319A7"/>
    <w:rsid w:val="00340740"/>
    <w:rsid w:val="003473F4"/>
    <w:rsid w:val="003A4FB0"/>
    <w:rsid w:val="003C27A1"/>
    <w:rsid w:val="00405804"/>
    <w:rsid w:val="004104FC"/>
    <w:rsid w:val="00417A80"/>
    <w:rsid w:val="00482AB7"/>
    <w:rsid w:val="004A2790"/>
    <w:rsid w:val="004A7117"/>
    <w:rsid w:val="004B0CFA"/>
    <w:rsid w:val="004B1E86"/>
    <w:rsid w:val="004C3157"/>
    <w:rsid w:val="004C3E9B"/>
    <w:rsid w:val="004C63D8"/>
    <w:rsid w:val="004D1E6D"/>
    <w:rsid w:val="004F3D87"/>
    <w:rsid w:val="005237C4"/>
    <w:rsid w:val="00545231"/>
    <w:rsid w:val="00564084"/>
    <w:rsid w:val="00585C4C"/>
    <w:rsid w:val="00587986"/>
    <w:rsid w:val="005B3305"/>
    <w:rsid w:val="005E6CCC"/>
    <w:rsid w:val="005F2823"/>
    <w:rsid w:val="005F4A79"/>
    <w:rsid w:val="005F58DD"/>
    <w:rsid w:val="006010BC"/>
    <w:rsid w:val="00614279"/>
    <w:rsid w:val="00675AA9"/>
    <w:rsid w:val="00685808"/>
    <w:rsid w:val="00686CA8"/>
    <w:rsid w:val="00692DAB"/>
    <w:rsid w:val="006A0EA8"/>
    <w:rsid w:val="006B1D63"/>
    <w:rsid w:val="006F336C"/>
    <w:rsid w:val="00762791"/>
    <w:rsid w:val="00764723"/>
    <w:rsid w:val="007B1916"/>
    <w:rsid w:val="007C47AB"/>
    <w:rsid w:val="00803696"/>
    <w:rsid w:val="00805A51"/>
    <w:rsid w:val="008667F9"/>
    <w:rsid w:val="00871C5E"/>
    <w:rsid w:val="00887092"/>
    <w:rsid w:val="00892882"/>
    <w:rsid w:val="008B3BB4"/>
    <w:rsid w:val="008B599B"/>
    <w:rsid w:val="008B6B8E"/>
    <w:rsid w:val="008B6BEC"/>
    <w:rsid w:val="008B7F0C"/>
    <w:rsid w:val="008C44B6"/>
    <w:rsid w:val="00933C83"/>
    <w:rsid w:val="00972224"/>
    <w:rsid w:val="009A011B"/>
    <w:rsid w:val="009A2CBA"/>
    <w:rsid w:val="009B211D"/>
    <w:rsid w:val="009B472E"/>
    <w:rsid w:val="009C6F42"/>
    <w:rsid w:val="00A010C5"/>
    <w:rsid w:val="00A20F04"/>
    <w:rsid w:val="00A47D5F"/>
    <w:rsid w:val="00A773EE"/>
    <w:rsid w:val="00A82F05"/>
    <w:rsid w:val="00A862A4"/>
    <w:rsid w:val="00A92BA2"/>
    <w:rsid w:val="00AA68E2"/>
    <w:rsid w:val="00AB528E"/>
    <w:rsid w:val="00AB6124"/>
    <w:rsid w:val="00AB68E4"/>
    <w:rsid w:val="00AD3673"/>
    <w:rsid w:val="00AD4511"/>
    <w:rsid w:val="00AD4F27"/>
    <w:rsid w:val="00B11BE8"/>
    <w:rsid w:val="00B1354A"/>
    <w:rsid w:val="00B304E3"/>
    <w:rsid w:val="00B3382D"/>
    <w:rsid w:val="00B362F3"/>
    <w:rsid w:val="00B51F07"/>
    <w:rsid w:val="00B54A19"/>
    <w:rsid w:val="00B55AA9"/>
    <w:rsid w:val="00BA3909"/>
    <w:rsid w:val="00BC3ED9"/>
    <w:rsid w:val="00C006C8"/>
    <w:rsid w:val="00C0215F"/>
    <w:rsid w:val="00C351EC"/>
    <w:rsid w:val="00C54114"/>
    <w:rsid w:val="00C63AF0"/>
    <w:rsid w:val="00C7216B"/>
    <w:rsid w:val="00C73CFA"/>
    <w:rsid w:val="00C8621F"/>
    <w:rsid w:val="00CA1D5A"/>
    <w:rsid w:val="00CB78FF"/>
    <w:rsid w:val="00D45220"/>
    <w:rsid w:val="00D652AB"/>
    <w:rsid w:val="00D97374"/>
    <w:rsid w:val="00DA3684"/>
    <w:rsid w:val="00DA49AA"/>
    <w:rsid w:val="00DB7A6A"/>
    <w:rsid w:val="00DC0648"/>
    <w:rsid w:val="00DC1CFF"/>
    <w:rsid w:val="00DC2D31"/>
    <w:rsid w:val="00DE517B"/>
    <w:rsid w:val="00E15A93"/>
    <w:rsid w:val="00E17CEB"/>
    <w:rsid w:val="00E24AC7"/>
    <w:rsid w:val="00E3534A"/>
    <w:rsid w:val="00E57455"/>
    <w:rsid w:val="00E86CC8"/>
    <w:rsid w:val="00E95DE1"/>
    <w:rsid w:val="00EA716E"/>
    <w:rsid w:val="00EE14C2"/>
    <w:rsid w:val="00F03747"/>
    <w:rsid w:val="00F509FB"/>
    <w:rsid w:val="00F53B73"/>
    <w:rsid w:val="00F654CC"/>
    <w:rsid w:val="00F828AE"/>
    <w:rsid w:val="00F91E86"/>
    <w:rsid w:val="00FA58A7"/>
    <w:rsid w:val="00FF2E44"/>
    <w:rsid w:val="00FF57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5:docId w15:val="{F953ADED-4179-4A60-B230-0B2B827A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86"/>
  </w:style>
  <w:style w:type="paragraph" w:styleId="Heading1">
    <w:name w:val="heading 1"/>
    <w:basedOn w:val="Normal"/>
    <w:link w:val="Heading1Char"/>
    <w:uiPriority w:val="9"/>
    <w:qFormat/>
    <w:rsid w:val="00692DAB"/>
    <w:pPr>
      <w:numPr>
        <w:numId w:val="31"/>
      </w:numPr>
      <w:spacing w:after="240"/>
      <w:jc w:val="both"/>
      <w:outlineLvl w:val="0"/>
    </w:pPr>
    <w:rPr>
      <w:rFonts w:eastAsiaTheme="majorEastAsia" w:cs="Times New Roman"/>
      <w:bCs/>
      <w:szCs w:val="28"/>
    </w:rPr>
  </w:style>
  <w:style w:type="paragraph" w:styleId="Heading2">
    <w:name w:val="heading 2"/>
    <w:basedOn w:val="Normal"/>
    <w:link w:val="Heading2Char"/>
    <w:uiPriority w:val="9"/>
    <w:unhideWhenUsed/>
    <w:qFormat/>
    <w:rsid w:val="00692DAB"/>
    <w:pPr>
      <w:numPr>
        <w:ilvl w:val="1"/>
        <w:numId w:val="31"/>
      </w:numPr>
      <w:tabs>
        <w:tab w:val="left" w:pos="2160"/>
      </w:tabs>
      <w:spacing w:after="240"/>
      <w:jc w:val="both"/>
      <w:outlineLvl w:val="1"/>
    </w:pPr>
    <w:rPr>
      <w:rFonts w:eastAsiaTheme="majorEastAsia" w:cs="Times New Roman"/>
      <w:bCs/>
      <w:szCs w:val="26"/>
    </w:rPr>
  </w:style>
  <w:style w:type="paragraph" w:styleId="Heading3">
    <w:name w:val="heading 3"/>
    <w:basedOn w:val="Normal"/>
    <w:link w:val="Heading3Char"/>
    <w:uiPriority w:val="9"/>
    <w:unhideWhenUsed/>
    <w:qFormat/>
    <w:rsid w:val="00692DAB"/>
    <w:pPr>
      <w:numPr>
        <w:ilvl w:val="2"/>
        <w:numId w:val="31"/>
      </w:numPr>
      <w:tabs>
        <w:tab w:val="left" w:pos="2880"/>
      </w:tabs>
      <w:spacing w:after="240"/>
      <w:jc w:val="both"/>
      <w:outlineLvl w:val="2"/>
    </w:pPr>
    <w:rPr>
      <w:rFonts w:eastAsiaTheme="majorEastAsia" w:cs="Times New Roman"/>
      <w:bCs/>
    </w:rPr>
  </w:style>
  <w:style w:type="paragraph" w:styleId="Heading4">
    <w:name w:val="heading 4"/>
    <w:basedOn w:val="Normal"/>
    <w:link w:val="Heading4Char"/>
    <w:uiPriority w:val="9"/>
    <w:unhideWhenUsed/>
    <w:qFormat/>
    <w:rsid w:val="00692DAB"/>
    <w:pPr>
      <w:numPr>
        <w:ilvl w:val="3"/>
        <w:numId w:val="31"/>
      </w:numPr>
      <w:tabs>
        <w:tab w:val="left" w:pos="3600"/>
      </w:tabs>
      <w:spacing w:after="240"/>
      <w:jc w:val="both"/>
      <w:outlineLvl w:val="3"/>
    </w:pPr>
    <w:rPr>
      <w:rFonts w:eastAsiaTheme="majorEastAsia" w:cs="Times New Roman"/>
      <w:bCs/>
      <w:iCs/>
    </w:rPr>
  </w:style>
  <w:style w:type="paragraph" w:styleId="Heading5">
    <w:name w:val="heading 5"/>
    <w:basedOn w:val="Normal"/>
    <w:link w:val="Heading5Char"/>
    <w:uiPriority w:val="9"/>
    <w:semiHidden/>
    <w:unhideWhenUsed/>
    <w:qFormat/>
    <w:rsid w:val="00692DAB"/>
    <w:pPr>
      <w:numPr>
        <w:ilvl w:val="4"/>
        <w:numId w:val="31"/>
      </w:numPr>
      <w:tabs>
        <w:tab w:val="left" w:pos="4320"/>
      </w:tabs>
      <w:spacing w:after="240"/>
      <w:jc w:val="both"/>
      <w:outlineLvl w:val="4"/>
    </w:pPr>
    <w:rPr>
      <w:rFonts w:eastAsiaTheme="majorEastAsia" w:cs="Times New Roman"/>
    </w:rPr>
  </w:style>
  <w:style w:type="paragraph" w:styleId="Heading6">
    <w:name w:val="heading 6"/>
    <w:basedOn w:val="Normal"/>
    <w:link w:val="Heading6Char"/>
    <w:uiPriority w:val="9"/>
    <w:semiHidden/>
    <w:unhideWhenUsed/>
    <w:qFormat/>
    <w:rsid w:val="00692DAB"/>
    <w:pPr>
      <w:numPr>
        <w:ilvl w:val="5"/>
        <w:numId w:val="31"/>
      </w:numPr>
      <w:tabs>
        <w:tab w:val="left" w:pos="5040"/>
      </w:tabs>
      <w:spacing w:after="240"/>
      <w:jc w:val="both"/>
      <w:outlineLvl w:val="5"/>
    </w:pPr>
    <w:rPr>
      <w:rFonts w:eastAsiaTheme="majorEastAsia" w:cs="Times New Roman"/>
      <w:iCs/>
    </w:rPr>
  </w:style>
  <w:style w:type="paragraph" w:styleId="Heading7">
    <w:name w:val="heading 7"/>
    <w:basedOn w:val="Normal"/>
    <w:link w:val="Heading7Char"/>
    <w:uiPriority w:val="9"/>
    <w:semiHidden/>
    <w:unhideWhenUsed/>
    <w:qFormat/>
    <w:rsid w:val="00692DAB"/>
    <w:pPr>
      <w:numPr>
        <w:ilvl w:val="6"/>
        <w:numId w:val="31"/>
      </w:numPr>
      <w:tabs>
        <w:tab w:val="left" w:pos="5760"/>
      </w:tabs>
      <w:spacing w:after="240"/>
      <w:jc w:val="both"/>
      <w:outlineLvl w:val="6"/>
    </w:pPr>
    <w:rPr>
      <w:rFonts w:eastAsiaTheme="majorEastAsia" w:cs="Times New Roman"/>
      <w:iCs/>
    </w:rPr>
  </w:style>
  <w:style w:type="paragraph" w:styleId="Heading8">
    <w:name w:val="heading 8"/>
    <w:basedOn w:val="Normal"/>
    <w:link w:val="Heading8Char"/>
    <w:uiPriority w:val="9"/>
    <w:semiHidden/>
    <w:unhideWhenUsed/>
    <w:qFormat/>
    <w:rsid w:val="00692DAB"/>
    <w:pPr>
      <w:numPr>
        <w:ilvl w:val="7"/>
        <w:numId w:val="31"/>
      </w:numPr>
      <w:tabs>
        <w:tab w:val="left" w:pos="6480"/>
      </w:tabs>
      <w:spacing w:after="240"/>
      <w:jc w:val="both"/>
      <w:outlineLvl w:val="7"/>
    </w:pPr>
    <w:rPr>
      <w:rFonts w:eastAsiaTheme="majorEastAsia" w:cs="Times New Roman"/>
      <w:szCs w:val="20"/>
    </w:rPr>
  </w:style>
  <w:style w:type="paragraph" w:styleId="Heading9">
    <w:name w:val="heading 9"/>
    <w:basedOn w:val="Normal"/>
    <w:link w:val="Heading9Char"/>
    <w:uiPriority w:val="9"/>
    <w:semiHidden/>
    <w:unhideWhenUsed/>
    <w:qFormat/>
    <w:rsid w:val="00692DAB"/>
    <w:pPr>
      <w:numPr>
        <w:ilvl w:val="8"/>
        <w:numId w:val="31"/>
      </w:numPr>
      <w:tabs>
        <w:tab w:val="left" w:pos="7200"/>
      </w:tabs>
      <w:spacing w:after="240"/>
      <w:jc w:val="both"/>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imes New Roman"/>
      <w:iCs/>
      <w:szCs w:val="20"/>
    </w:rPr>
  </w:style>
  <w:style w:type="character" w:customStyle="1" w:styleId="Heading8Char">
    <w:name w:val="Heading 8 Char"/>
    <w:basedOn w:val="DefaultParagraphFont"/>
    <w:link w:val="Heading8"/>
    <w:uiPriority w:val="9"/>
    <w:semiHidden/>
    <w:rsid w:val="009A2CBA"/>
    <w:rPr>
      <w:rFonts w:eastAsiaTheme="majorEastAsia" w:cs="Times New Roman"/>
      <w:szCs w:val="20"/>
    </w:rPr>
  </w:style>
  <w:style w:type="character" w:customStyle="1" w:styleId="Heading7Char">
    <w:name w:val="Heading 7 Char"/>
    <w:basedOn w:val="DefaultParagraphFont"/>
    <w:link w:val="Heading7"/>
    <w:uiPriority w:val="9"/>
    <w:semiHidden/>
    <w:rsid w:val="009A2CBA"/>
    <w:rPr>
      <w:rFonts w:eastAsiaTheme="majorEastAsia" w:cs="Times New Roman"/>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imes New Roman"/>
      <w:iCs/>
    </w:rPr>
  </w:style>
  <w:style w:type="character" w:customStyle="1" w:styleId="Heading5Char">
    <w:name w:val="Heading 5 Char"/>
    <w:basedOn w:val="DefaultParagraphFont"/>
    <w:link w:val="Heading5"/>
    <w:uiPriority w:val="9"/>
    <w:semiHidden/>
    <w:rsid w:val="009A2CBA"/>
    <w:rPr>
      <w:rFonts w:eastAsiaTheme="majorEastAsia" w:cs="Times New Roman"/>
    </w:rPr>
  </w:style>
  <w:style w:type="character" w:customStyle="1" w:styleId="Heading4Char">
    <w:name w:val="Heading 4 Char"/>
    <w:basedOn w:val="DefaultParagraphFont"/>
    <w:link w:val="Heading4"/>
    <w:uiPriority w:val="9"/>
    <w:rsid w:val="009A2CBA"/>
    <w:rPr>
      <w:rFonts w:eastAsiaTheme="majorEastAsia" w:cs="Times New Roman"/>
      <w:bCs/>
      <w:iCs/>
    </w:rPr>
  </w:style>
  <w:style w:type="character" w:customStyle="1" w:styleId="Heading3Char">
    <w:name w:val="Heading 3 Char"/>
    <w:basedOn w:val="DefaultParagraphFont"/>
    <w:link w:val="Heading3"/>
    <w:uiPriority w:val="9"/>
    <w:rsid w:val="009A2CBA"/>
    <w:rPr>
      <w:rFonts w:eastAsiaTheme="majorEastAsia" w:cs="Times New Roman"/>
      <w:bCs/>
    </w:rPr>
  </w:style>
  <w:style w:type="character" w:customStyle="1" w:styleId="Heading2Char">
    <w:name w:val="Heading 2 Char"/>
    <w:basedOn w:val="DefaultParagraphFont"/>
    <w:link w:val="Heading2"/>
    <w:uiPriority w:val="9"/>
    <w:rsid w:val="009A2CBA"/>
    <w:rPr>
      <w:rFonts w:eastAsiaTheme="majorEastAsia" w:cs="Times New Roman"/>
      <w:bCs/>
      <w:szCs w:val="26"/>
    </w:rPr>
  </w:style>
  <w:style w:type="character" w:customStyle="1" w:styleId="Heading1Char">
    <w:name w:val="Heading 1 Char"/>
    <w:basedOn w:val="DefaultParagraphFont"/>
    <w:link w:val="Heading1"/>
    <w:uiPriority w:val="9"/>
    <w:rsid w:val="009A2CBA"/>
    <w:rPr>
      <w:rFonts w:eastAsiaTheme="majorEastAsia" w:cs="Times New Roman"/>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7B2B-F4A9-485A-8773-5E1D882A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12</Pages>
  <Words>3761</Words>
  <Characters>20239</Characters>
  <Application>Microsoft Office Word</Application>
  <DocSecurity>0</DocSecurity>
  <Lines>367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Fonseca</dc:creator>
  <cp:lastModifiedBy>McDermott, Diane M (BOS - X72149)</cp:lastModifiedBy>
  <cp:revision>14</cp:revision>
  <cp:lastPrinted>2016-08-05T15:03:00Z</cp:lastPrinted>
  <dcterms:created xsi:type="dcterms:W3CDTF">2016-08-18T12:01:00Z</dcterms:created>
  <dcterms:modified xsi:type="dcterms:W3CDTF">2016-08-18T13:12:00Z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#39947177_v3</vt:lpwstr>
  </property>
  <property fmtid="{D5CDD505-2E9C-101B-9397-08002B2CF9AE}" pid="3" name="DocumentType">
    <vt:lpwstr>pgBlank</vt:lpwstr>
  </property>
</Properties>
</file>