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9E" w:rsidRPr="00A67080" w:rsidRDefault="0069539E" w:rsidP="0069539E">
      <w:pPr>
        <w:spacing w:after="15" w:line="240" w:lineRule="auto"/>
        <w:rPr>
          <w:rFonts w:ascii="Arial" w:eastAsia="Times New Roman" w:hAnsi="Arial" w:cs="Arial"/>
        </w:rPr>
      </w:pPr>
    </w:p>
    <w:p w:rsidR="0069539E" w:rsidRPr="00A67080" w:rsidRDefault="0069539E" w:rsidP="0069539E">
      <w:pPr>
        <w:spacing w:after="15" w:line="240" w:lineRule="auto"/>
        <w:rPr>
          <w:rFonts w:ascii="Arial" w:eastAsia="Times New Roman" w:hAnsi="Arial" w:cs="Arial"/>
        </w:rPr>
      </w:pPr>
    </w:p>
    <w:p w:rsidR="0069539E" w:rsidRPr="00A67080" w:rsidRDefault="0069539E" w:rsidP="0069539E">
      <w:pPr>
        <w:spacing w:after="15" w:line="240" w:lineRule="auto"/>
        <w:rPr>
          <w:rFonts w:ascii="Arial" w:eastAsia="Times New Roman" w:hAnsi="Arial" w:cs="Arial"/>
        </w:rPr>
      </w:pPr>
    </w:p>
    <w:p w:rsidR="0069539E" w:rsidRPr="00A67080" w:rsidRDefault="0069539E" w:rsidP="0069539E">
      <w:pPr>
        <w:spacing w:after="15" w:line="240" w:lineRule="auto"/>
        <w:rPr>
          <w:rFonts w:ascii="Arial" w:eastAsia="Times New Roman" w:hAnsi="Arial" w:cs="Arial"/>
        </w:rPr>
      </w:pPr>
    </w:p>
    <w:p w:rsidR="0069539E" w:rsidRPr="00A67080" w:rsidRDefault="0069539E" w:rsidP="0069539E">
      <w:pPr>
        <w:spacing w:after="15" w:line="240" w:lineRule="auto"/>
        <w:rPr>
          <w:rFonts w:ascii="Arial" w:eastAsia="Times New Roman" w:hAnsi="Arial" w:cs="Arial"/>
        </w:rPr>
      </w:pPr>
    </w:p>
    <w:p w:rsidR="0069539E" w:rsidRPr="00A67080" w:rsidRDefault="0069539E" w:rsidP="0069539E">
      <w:pPr>
        <w:spacing w:after="15" w:line="240" w:lineRule="auto"/>
        <w:rPr>
          <w:rFonts w:ascii="Times New Roman" w:eastAsia="Times New Roman" w:hAnsi="Times New Roman" w:cs="Times New Roman"/>
        </w:rPr>
      </w:pPr>
    </w:p>
    <w:p w:rsidR="0069539E" w:rsidRPr="00A67080" w:rsidRDefault="0069539E" w:rsidP="0069539E">
      <w:pPr>
        <w:spacing w:after="15" w:line="240" w:lineRule="auto"/>
        <w:rPr>
          <w:rFonts w:ascii="Times New Roman" w:eastAsia="Times New Roman" w:hAnsi="Times New Roman" w:cs="Times New Roman"/>
        </w:rPr>
      </w:pPr>
      <w:r w:rsidRPr="00A67080">
        <w:rPr>
          <w:rFonts w:ascii="Times New Roman" w:eastAsia="Times New Roman" w:hAnsi="Times New Roman" w:cs="Times New Roman"/>
        </w:rPr>
        <w:t>DRAFT FOR REVIEW</w:t>
      </w:r>
    </w:p>
    <w:p w:rsidR="0069539E" w:rsidRPr="00A67080" w:rsidRDefault="0069539E" w:rsidP="0069539E">
      <w:pPr>
        <w:spacing w:after="15" w:line="240" w:lineRule="auto"/>
        <w:rPr>
          <w:rFonts w:ascii="Times New Roman" w:eastAsia="Times New Roman" w:hAnsi="Times New Roman" w:cs="Times New Roman"/>
        </w:rPr>
      </w:pPr>
      <w:r w:rsidRPr="00A67080">
        <w:rPr>
          <w:rFonts w:ascii="Times New Roman" w:eastAsia="Times New Roman" w:hAnsi="Times New Roman" w:cs="Times New Roman"/>
        </w:rPr>
        <w:t>December 21, 2011</w:t>
      </w:r>
    </w:p>
    <w:p w:rsidR="0069539E" w:rsidRPr="00A67080" w:rsidRDefault="0069539E" w:rsidP="0069539E">
      <w:pPr>
        <w:spacing w:after="15" w:line="240" w:lineRule="auto"/>
        <w:rPr>
          <w:rFonts w:ascii="Times New Roman" w:eastAsia="Times New Roman" w:hAnsi="Times New Roman" w:cs="Times New Roman"/>
        </w:rPr>
      </w:pPr>
    </w:p>
    <w:p w:rsidR="0069539E" w:rsidRPr="00A67080" w:rsidRDefault="0069539E" w:rsidP="0069539E">
      <w:pPr>
        <w:spacing w:after="15" w:line="240" w:lineRule="auto"/>
        <w:rPr>
          <w:rFonts w:ascii="Times New Roman" w:eastAsia="Times New Roman" w:hAnsi="Times New Roman" w:cs="Times New Roman"/>
        </w:rPr>
      </w:pPr>
      <w:r w:rsidRPr="0069539E">
        <w:rPr>
          <w:rFonts w:ascii="Times New Roman" w:eastAsia="Times New Roman" w:hAnsi="Times New Roman" w:cs="Times New Roman"/>
        </w:rPr>
        <w:t>Christopher T. Tully</w:t>
      </w:r>
      <w:bookmarkStart w:id="0" w:name="_GoBack"/>
      <w:bookmarkEnd w:id="0"/>
      <w:r w:rsidRPr="0069539E">
        <w:rPr>
          <w:rFonts w:ascii="Times New Roman" w:eastAsia="Times New Roman" w:hAnsi="Times New Roman" w:cs="Times New Roman"/>
        </w:rPr>
        <w:br/>
        <w:t>Regional Director - Asset Management</w:t>
      </w:r>
      <w:r w:rsidRPr="0069539E">
        <w:rPr>
          <w:rFonts w:ascii="Times New Roman" w:eastAsia="Times New Roman" w:hAnsi="Times New Roman" w:cs="Times New Roman"/>
        </w:rPr>
        <w:br/>
        <w:t xml:space="preserve">Intercontinental Real Estate Corporation </w:t>
      </w:r>
      <w:r w:rsidRPr="0069539E">
        <w:rPr>
          <w:rFonts w:ascii="Times New Roman" w:eastAsia="Times New Roman" w:hAnsi="Times New Roman" w:cs="Times New Roman"/>
        </w:rPr>
        <w:br/>
        <w:t xml:space="preserve">1270 Soldiers Field Road | Boston, MA 02135-1003 </w:t>
      </w:r>
      <w:r w:rsidRPr="0069539E">
        <w:rPr>
          <w:rFonts w:ascii="Times New Roman" w:eastAsia="Times New Roman" w:hAnsi="Times New Roman" w:cs="Times New Roman"/>
        </w:rPr>
        <w:br/>
      </w:r>
    </w:p>
    <w:p w:rsidR="0069539E" w:rsidRPr="00A67080" w:rsidRDefault="0069539E" w:rsidP="0069539E">
      <w:pPr>
        <w:spacing w:after="15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 w:rsidRPr="00A67080">
        <w:rPr>
          <w:rFonts w:ascii="Times New Roman" w:eastAsia="Times New Roman" w:hAnsi="Times New Roman" w:cs="Times New Roman"/>
          <w:b/>
        </w:rPr>
        <w:t xml:space="preserve">Re:   </w:t>
      </w:r>
      <w:r w:rsidRPr="00A67080">
        <w:rPr>
          <w:rFonts w:ascii="Times New Roman" w:eastAsia="Times New Roman" w:hAnsi="Times New Roman" w:cs="Times New Roman"/>
          <w:b/>
        </w:rPr>
        <w:tab/>
        <w:t xml:space="preserve">Housing Replacement Fee and Release of Performance Guarantee posted by Intercontinental Real Estate Corporation for the </w:t>
      </w:r>
      <w:proofErr w:type="spellStart"/>
      <w:r w:rsidRPr="00A67080">
        <w:rPr>
          <w:rFonts w:ascii="Times New Roman" w:eastAsia="Times New Roman" w:hAnsi="Times New Roman" w:cs="Times New Roman"/>
          <w:b/>
        </w:rPr>
        <w:t>Riverwalk</w:t>
      </w:r>
      <w:proofErr w:type="spellEnd"/>
      <w:r w:rsidRPr="00A67080">
        <w:rPr>
          <w:rFonts w:ascii="Times New Roman" w:eastAsia="Times New Roman" w:hAnsi="Times New Roman" w:cs="Times New Roman"/>
          <w:b/>
        </w:rPr>
        <w:t xml:space="preserve"> Development:  including the Ocean Gateway Garage, 25 India Street, and “The Longfellow” (aka Watermark) Condominiums</w:t>
      </w:r>
    </w:p>
    <w:p w:rsidR="00141216" w:rsidRPr="00A67080" w:rsidRDefault="00F37B44" w:rsidP="00141216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A67080">
        <w:rPr>
          <w:rFonts w:ascii="Times New Roman" w:eastAsia="Times New Roman" w:hAnsi="Times New Roman" w:cs="Times New Roman"/>
          <w:b/>
        </w:rPr>
        <w:t xml:space="preserve">(Id#2005-0271: </w:t>
      </w:r>
      <w:r w:rsidR="00141216" w:rsidRPr="00A67080">
        <w:rPr>
          <w:rFonts w:ascii="Times New Roman" w:eastAsia="Times New Roman" w:hAnsi="Times New Roman" w:cs="Times New Roman"/>
          <w:b/>
        </w:rPr>
        <w:t>CBL 019 A 00100</w:t>
      </w:r>
      <w:r w:rsidR="00141216" w:rsidRPr="00141216">
        <w:rPr>
          <w:rFonts w:ascii="Times New Roman" w:eastAsia="Times New Roman" w:hAnsi="Times New Roman" w:cs="Times New Roman"/>
          <w:b/>
          <w:color w:val="000000"/>
        </w:rPr>
        <w:t>, 19-A-014, 20-C-023, 20-C-009</w:t>
      </w:r>
      <w:r w:rsidR="00141216" w:rsidRPr="00A67080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141216" w:rsidRPr="00A67080" w:rsidRDefault="00141216" w:rsidP="00141216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141216" w:rsidRPr="00A67080" w:rsidRDefault="00141216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67080">
        <w:rPr>
          <w:rFonts w:ascii="Times New Roman" w:eastAsia="Times New Roman" w:hAnsi="Times New Roman" w:cs="Times New Roman"/>
          <w:color w:val="000000"/>
        </w:rPr>
        <w:t>Dea</w:t>
      </w:r>
      <w:r w:rsidR="0042397F" w:rsidRPr="00A67080">
        <w:rPr>
          <w:rFonts w:ascii="Times New Roman" w:eastAsia="Times New Roman" w:hAnsi="Times New Roman" w:cs="Times New Roman"/>
          <w:color w:val="000000"/>
        </w:rPr>
        <w:t>r Mr. Tully,</w:t>
      </w:r>
    </w:p>
    <w:p w:rsidR="0042397F" w:rsidRPr="00A67080" w:rsidRDefault="0042397F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2397F" w:rsidRPr="00A67080" w:rsidRDefault="0042397F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67080">
        <w:rPr>
          <w:rFonts w:ascii="Times New Roman" w:eastAsia="Times New Roman" w:hAnsi="Times New Roman" w:cs="Times New Roman"/>
          <w:color w:val="000000"/>
        </w:rPr>
        <w:t xml:space="preserve">According to your email of </w:t>
      </w:r>
      <w:r w:rsidR="00A71638" w:rsidRPr="00A67080">
        <w:rPr>
          <w:rFonts w:ascii="Times New Roman" w:eastAsia="Times New Roman" w:hAnsi="Times New Roman" w:cs="Times New Roman"/>
          <w:color w:val="000000"/>
        </w:rPr>
        <w:t>December 13, 2011</w:t>
      </w:r>
      <w:r w:rsidR="00F37B44" w:rsidRPr="00A67080">
        <w:rPr>
          <w:rFonts w:ascii="Times New Roman" w:eastAsia="Times New Roman" w:hAnsi="Times New Roman" w:cs="Times New Roman"/>
          <w:color w:val="000000"/>
        </w:rPr>
        <w:t xml:space="preserve"> to Bill Needelman</w:t>
      </w:r>
      <w:r w:rsidR="00A71638" w:rsidRPr="00A67080">
        <w:rPr>
          <w:rFonts w:ascii="Times New Roman" w:eastAsia="Times New Roman" w:hAnsi="Times New Roman" w:cs="Times New Roman"/>
          <w:color w:val="000000"/>
        </w:rPr>
        <w:t xml:space="preserve">, you are </w:t>
      </w:r>
      <w:r w:rsidRPr="00A67080">
        <w:rPr>
          <w:rFonts w:ascii="Times New Roman" w:eastAsia="Times New Roman" w:hAnsi="Times New Roman" w:cs="Times New Roman"/>
          <w:color w:val="000000"/>
        </w:rPr>
        <w:t>request</w:t>
      </w:r>
      <w:r w:rsidR="00A71638" w:rsidRPr="00A67080">
        <w:rPr>
          <w:rFonts w:ascii="Times New Roman" w:eastAsia="Times New Roman" w:hAnsi="Times New Roman" w:cs="Times New Roman"/>
          <w:color w:val="000000"/>
        </w:rPr>
        <w:t>ing a complete</w:t>
      </w:r>
      <w:r w:rsidRPr="00A67080">
        <w:rPr>
          <w:rFonts w:ascii="Times New Roman" w:eastAsia="Times New Roman" w:hAnsi="Times New Roman" w:cs="Times New Roman"/>
          <w:color w:val="000000"/>
        </w:rPr>
        <w:t xml:space="preserve"> release the performance guarantee held in escrow by the City for the above referenced project in Portland, Maine</w:t>
      </w:r>
      <w:r w:rsidR="00A71638" w:rsidRPr="00A67080">
        <w:rPr>
          <w:rFonts w:ascii="Times New Roman" w:eastAsia="Times New Roman" w:hAnsi="Times New Roman" w:cs="Times New Roman"/>
          <w:color w:val="000000"/>
        </w:rPr>
        <w:t>.</w:t>
      </w:r>
    </w:p>
    <w:p w:rsidR="00A71638" w:rsidRPr="00A67080" w:rsidRDefault="00A71638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90E2F" w:rsidRPr="00A67080" w:rsidRDefault="00A71638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67080">
        <w:rPr>
          <w:rFonts w:ascii="Times New Roman" w:eastAsia="Times New Roman" w:hAnsi="Times New Roman" w:cs="Times New Roman"/>
          <w:color w:val="000000"/>
        </w:rPr>
        <w:t>Pending a final inspection of the site to ensure that it is left in a clean and stable condition, the City will accommodate this request understanding that the City will hold</w:t>
      </w:r>
      <w:r w:rsidR="00090E2F" w:rsidRPr="00A67080">
        <w:rPr>
          <w:rFonts w:ascii="Times New Roman" w:eastAsia="Times New Roman" w:hAnsi="Times New Roman" w:cs="Times New Roman"/>
          <w:color w:val="000000"/>
        </w:rPr>
        <w:t>:</w:t>
      </w:r>
    </w:p>
    <w:p w:rsidR="00090E2F" w:rsidRPr="00A67080" w:rsidRDefault="00090E2F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90E2F" w:rsidRPr="00A67080" w:rsidRDefault="00A71638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67080">
        <w:rPr>
          <w:rFonts w:ascii="Times New Roman" w:eastAsia="Times New Roman" w:hAnsi="Times New Roman" w:cs="Times New Roman"/>
          <w:color w:val="000000"/>
        </w:rPr>
        <w:t>$250,000 of the remaining performance guarantee to satisfy the requirements of the Housing Replacement Ordinance</w:t>
      </w:r>
      <w:r w:rsidR="00090E2F" w:rsidRPr="00A67080">
        <w:rPr>
          <w:rFonts w:ascii="Times New Roman" w:eastAsia="Times New Roman" w:hAnsi="Times New Roman" w:cs="Times New Roman"/>
          <w:color w:val="000000"/>
        </w:rPr>
        <w:t>; and,</w:t>
      </w:r>
    </w:p>
    <w:p w:rsidR="00090E2F" w:rsidRPr="00A67080" w:rsidRDefault="00090E2F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A67080">
        <w:rPr>
          <w:rFonts w:ascii="Times New Roman" w:eastAsia="Times New Roman" w:hAnsi="Times New Roman" w:cs="Times New Roman"/>
          <w:color w:val="000000"/>
        </w:rPr>
        <w:t>$35,000 for the finish paving of Hancock Street (Fore Street to Thames Street) and Thames Street (India Street to Hancock Street</w:t>
      </w:r>
      <w:r w:rsidR="00A71638" w:rsidRPr="00A67080">
        <w:rPr>
          <w:rFonts w:ascii="Times New Roman" w:eastAsia="Times New Roman" w:hAnsi="Times New Roman" w:cs="Times New Roman"/>
          <w:color w:val="000000"/>
        </w:rPr>
        <w:t>.</w:t>
      </w:r>
      <w:r w:rsidRPr="00A67080">
        <w:rPr>
          <w:rFonts w:ascii="Times New Roman" w:eastAsia="Times New Roman" w:hAnsi="Times New Roman" w:cs="Times New Roman"/>
          <w:color w:val="000000"/>
        </w:rPr>
        <w:t>)</w:t>
      </w:r>
      <w:proofErr w:type="gramEnd"/>
      <w:r w:rsidR="00A71638" w:rsidRPr="00A67080">
        <w:rPr>
          <w:rFonts w:ascii="Times New Roman" w:eastAsia="Times New Roman" w:hAnsi="Times New Roman" w:cs="Times New Roman"/>
          <w:color w:val="000000"/>
        </w:rPr>
        <w:t xml:space="preserve">     </w:t>
      </w:r>
    </w:p>
    <w:p w:rsidR="00090E2F" w:rsidRPr="00A67080" w:rsidRDefault="00090E2F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90E2F" w:rsidRPr="00A67080" w:rsidRDefault="00090E2F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67080">
        <w:rPr>
          <w:rFonts w:ascii="Times New Roman" w:eastAsia="Times New Roman" w:hAnsi="Times New Roman" w:cs="Times New Roman"/>
          <w:color w:val="000000"/>
        </w:rPr>
        <w:t>The City will deposit these funds in</w:t>
      </w:r>
      <w:r w:rsidRPr="00A67080">
        <w:rPr>
          <w:rFonts w:ascii="Times New Roman" w:eastAsia="Times New Roman" w:hAnsi="Times New Roman" w:cs="Times New Roman"/>
          <w:color w:val="000000"/>
        </w:rPr>
        <w:t>to the Housing Replacement F</w:t>
      </w:r>
      <w:r w:rsidRPr="00A67080">
        <w:rPr>
          <w:rFonts w:ascii="Times New Roman" w:eastAsia="Times New Roman" w:hAnsi="Times New Roman" w:cs="Times New Roman"/>
          <w:color w:val="000000"/>
        </w:rPr>
        <w:t xml:space="preserve">und </w:t>
      </w:r>
      <w:r w:rsidRPr="00A67080">
        <w:rPr>
          <w:rFonts w:ascii="Times New Roman" w:eastAsia="Times New Roman" w:hAnsi="Times New Roman" w:cs="Times New Roman"/>
          <w:color w:val="000000"/>
        </w:rPr>
        <w:t xml:space="preserve">and City’s Public Infrastructure Fund respectively </w:t>
      </w:r>
      <w:r w:rsidRPr="00A67080">
        <w:rPr>
          <w:rFonts w:ascii="Times New Roman" w:eastAsia="Times New Roman" w:hAnsi="Times New Roman" w:cs="Times New Roman"/>
          <w:color w:val="000000"/>
        </w:rPr>
        <w:t>on the project’s behalf.</w:t>
      </w:r>
    </w:p>
    <w:p w:rsidR="00090E2F" w:rsidRPr="00A67080" w:rsidRDefault="00090E2F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71638" w:rsidRPr="00A67080" w:rsidRDefault="00A71638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67080">
        <w:rPr>
          <w:rFonts w:ascii="Times New Roman" w:eastAsia="Times New Roman" w:hAnsi="Times New Roman" w:cs="Times New Roman"/>
          <w:color w:val="000000"/>
        </w:rPr>
        <w:t>The balance of the performance guarantee totaling $---------- will be returned to Intercontinental according to the wiring instructions that you provided in your December 13 email.</w:t>
      </w:r>
    </w:p>
    <w:p w:rsidR="00A71638" w:rsidRPr="00A67080" w:rsidRDefault="00A71638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71638" w:rsidRPr="00A67080" w:rsidRDefault="00A71638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67080">
        <w:rPr>
          <w:rFonts w:ascii="Times New Roman" w:eastAsia="Times New Roman" w:hAnsi="Times New Roman" w:cs="Times New Roman"/>
          <w:color w:val="000000"/>
        </w:rPr>
        <w:t xml:space="preserve">Please indicate your consent to this course of action by signing this letter (in duplicate originals) on the line provided below and returning one original to Philip </w:t>
      </w:r>
      <w:proofErr w:type="spellStart"/>
      <w:r w:rsidRPr="00A67080">
        <w:rPr>
          <w:rFonts w:ascii="Times New Roman" w:eastAsia="Times New Roman" w:hAnsi="Times New Roman" w:cs="Times New Roman"/>
          <w:color w:val="000000"/>
        </w:rPr>
        <w:t>Dipierro</w:t>
      </w:r>
      <w:proofErr w:type="spellEnd"/>
      <w:r w:rsidR="00F37B44" w:rsidRPr="00A67080">
        <w:rPr>
          <w:rFonts w:ascii="Times New Roman" w:eastAsia="Times New Roman" w:hAnsi="Times New Roman" w:cs="Times New Roman"/>
          <w:color w:val="000000"/>
        </w:rPr>
        <w:t xml:space="preserve"> in the Planning Division and retaining one copy for your records.</w:t>
      </w:r>
    </w:p>
    <w:p w:rsidR="00F37B44" w:rsidRPr="00A67080" w:rsidRDefault="00F37B44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F37B44" w:rsidRPr="00A67080" w:rsidRDefault="00F37B44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67080">
        <w:rPr>
          <w:rFonts w:ascii="Times New Roman" w:eastAsia="Times New Roman" w:hAnsi="Times New Roman" w:cs="Times New Roman"/>
          <w:color w:val="000000"/>
        </w:rPr>
        <w:t xml:space="preserve">Should you have any questions, please telephone me (207) 874-8722) or Philip </w:t>
      </w:r>
      <w:proofErr w:type="spellStart"/>
      <w:proofErr w:type="gramStart"/>
      <w:r w:rsidRPr="00A67080">
        <w:rPr>
          <w:rFonts w:ascii="Times New Roman" w:eastAsia="Times New Roman" w:hAnsi="Times New Roman" w:cs="Times New Roman"/>
          <w:color w:val="000000"/>
        </w:rPr>
        <w:t>Dipierro</w:t>
      </w:r>
      <w:proofErr w:type="spellEnd"/>
      <w:r w:rsidRPr="00A67080">
        <w:rPr>
          <w:rFonts w:ascii="Times New Roman" w:eastAsia="Times New Roman" w:hAnsi="Times New Roman" w:cs="Times New Roman"/>
          <w:color w:val="000000"/>
        </w:rPr>
        <w:t xml:space="preserve">  (</w:t>
      </w:r>
      <w:proofErr w:type="gramEnd"/>
      <w:r w:rsidRPr="00A67080">
        <w:rPr>
          <w:rFonts w:ascii="Times New Roman" w:eastAsia="Times New Roman" w:hAnsi="Times New Roman" w:cs="Times New Roman"/>
          <w:color w:val="000000"/>
        </w:rPr>
        <w:t>207) 874-8632.</w:t>
      </w:r>
    </w:p>
    <w:p w:rsidR="00F37B44" w:rsidRPr="00A67080" w:rsidRDefault="00F37B44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F37B44" w:rsidRPr="00A67080" w:rsidRDefault="00F37B44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67080">
        <w:rPr>
          <w:rFonts w:ascii="Times New Roman" w:eastAsia="Times New Roman" w:hAnsi="Times New Roman" w:cs="Times New Roman"/>
          <w:color w:val="000000"/>
        </w:rPr>
        <w:t>Sincerely,</w:t>
      </w:r>
    </w:p>
    <w:p w:rsidR="00F37B44" w:rsidRPr="00A67080" w:rsidRDefault="00F37B44" w:rsidP="001412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90E2F" w:rsidRPr="00A67080" w:rsidRDefault="00090E2F" w:rsidP="00F37B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67080">
        <w:rPr>
          <w:rFonts w:ascii="Times New Roman" w:eastAsia="Times New Roman" w:hAnsi="Times New Roman" w:cs="Times New Roman"/>
          <w:color w:val="000000"/>
        </w:rPr>
        <w:t>Greg Mitchell</w:t>
      </w:r>
    </w:p>
    <w:p w:rsidR="0069539E" w:rsidRPr="00A67080" w:rsidRDefault="00090E2F" w:rsidP="00F37B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67080">
        <w:rPr>
          <w:rFonts w:ascii="Times New Roman" w:eastAsia="Times New Roman" w:hAnsi="Times New Roman" w:cs="Times New Roman"/>
          <w:color w:val="000000"/>
        </w:rPr>
        <w:t>Acting Director of the Department of Planning and Urban Development</w:t>
      </w:r>
    </w:p>
    <w:sectPr w:rsidR="0069539E" w:rsidRPr="00A6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9E"/>
    <w:rsid w:val="00090E2F"/>
    <w:rsid w:val="00141216"/>
    <w:rsid w:val="0042397F"/>
    <w:rsid w:val="0069539E"/>
    <w:rsid w:val="008625D8"/>
    <w:rsid w:val="00A67080"/>
    <w:rsid w:val="00A71638"/>
    <w:rsid w:val="00F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58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WBN</dc:creator>
  <cp:lastModifiedBy>WBN</cp:lastModifiedBy>
  <cp:revision>3</cp:revision>
  <dcterms:created xsi:type="dcterms:W3CDTF">2011-12-21T18:36:00Z</dcterms:created>
  <dcterms:modified xsi:type="dcterms:W3CDTF">2011-12-21T21:50:00Z</dcterms:modified>
</cp:coreProperties>
</file>