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A6" w:rsidRDefault="00D028A6" w:rsidP="00F23C67">
      <w:pPr>
        <w:pStyle w:val="Heading2"/>
      </w:pPr>
      <w:r>
        <w:rPr>
          <w:noProof/>
        </w:rPr>
        <w:drawing>
          <wp:anchor distT="0" distB="0" distL="114300" distR="114300" simplePos="0" relativeHeight="251658240" behindDoc="0" locked="0" layoutInCell="1" allowOverlap="1">
            <wp:simplePos x="0" y="0"/>
            <wp:positionH relativeFrom="column">
              <wp:posOffset>5349875</wp:posOffset>
            </wp:positionH>
            <wp:positionV relativeFrom="paragraph">
              <wp:posOffset>0</wp:posOffset>
            </wp:positionV>
            <wp:extent cx="962025" cy="955040"/>
            <wp:effectExtent l="0" t="0" r="9525" b="0"/>
            <wp:wrapSquare wrapText="bothSides"/>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D028A6" w:rsidRDefault="00D028A6" w:rsidP="00D028A6">
      <w:pPr>
        <w:pStyle w:val="Heading2"/>
        <w:rPr>
          <w:b/>
          <w:sz w:val="16"/>
          <w:szCs w:val="16"/>
        </w:rPr>
      </w:pPr>
    </w:p>
    <w:p w:rsidR="00F23C67" w:rsidRDefault="00F23C67" w:rsidP="00D028A6">
      <w:pPr>
        <w:pStyle w:val="Heading2"/>
        <w:rPr>
          <w:b/>
          <w:szCs w:val="32"/>
        </w:rPr>
      </w:pPr>
    </w:p>
    <w:p w:rsidR="00F23C67" w:rsidRDefault="00F23C67" w:rsidP="00D028A6">
      <w:pPr>
        <w:pStyle w:val="Heading2"/>
        <w:rPr>
          <w:b/>
          <w:szCs w:val="32"/>
        </w:rPr>
      </w:pPr>
    </w:p>
    <w:p w:rsidR="00D028A6" w:rsidRDefault="00D028A6" w:rsidP="00D028A6">
      <w:pPr>
        <w:pStyle w:val="Heading2"/>
        <w:rPr>
          <w:b/>
          <w:szCs w:val="32"/>
        </w:rPr>
      </w:pPr>
      <w:r>
        <w:rPr>
          <w:b/>
          <w:szCs w:val="32"/>
        </w:rPr>
        <w:t>Memorandum</w:t>
      </w:r>
    </w:p>
    <w:p w:rsidR="00D028A6" w:rsidRDefault="00D028A6" w:rsidP="00D028A6">
      <w:pPr>
        <w:rPr>
          <w:rFonts w:ascii="Arial" w:hAnsi="Arial" w:cs="Arial"/>
          <w:b/>
          <w:sz w:val="32"/>
          <w:szCs w:val="32"/>
        </w:rPr>
      </w:pPr>
      <w:r>
        <w:rPr>
          <w:rFonts w:ascii="Arial" w:hAnsi="Arial" w:cs="Arial"/>
          <w:b/>
          <w:sz w:val="32"/>
          <w:szCs w:val="32"/>
        </w:rPr>
        <w:t>Planning and Urban Development Department</w:t>
      </w:r>
    </w:p>
    <w:p w:rsidR="00D028A6" w:rsidRDefault="00D028A6" w:rsidP="00D028A6">
      <w:pPr>
        <w:rPr>
          <w:rFonts w:ascii="Arial" w:hAnsi="Arial" w:cs="Arial"/>
          <w:b/>
          <w:sz w:val="32"/>
          <w:szCs w:val="32"/>
        </w:rPr>
      </w:pPr>
      <w:r>
        <w:rPr>
          <w:rFonts w:ascii="Arial" w:hAnsi="Arial" w:cs="Arial"/>
          <w:b/>
          <w:sz w:val="32"/>
          <w:szCs w:val="32"/>
        </w:rPr>
        <w:t>Planning Division</w:t>
      </w:r>
    </w:p>
    <w:p w:rsidR="00D028A6" w:rsidRDefault="00D028A6" w:rsidP="00D028A6">
      <w:pPr>
        <w:pBdr>
          <w:bottom w:val="single" w:sz="12" w:space="1" w:color="auto"/>
        </w:pBdr>
        <w:rPr>
          <w:sz w:val="16"/>
          <w:szCs w:val="16"/>
        </w:rPr>
      </w:pPr>
    </w:p>
    <w:p w:rsidR="00D028A6" w:rsidRDefault="00D028A6" w:rsidP="00D028A6">
      <w:pPr>
        <w:rPr>
          <w:sz w:val="16"/>
          <w:szCs w:val="16"/>
        </w:rPr>
      </w:pPr>
    </w:p>
    <w:p w:rsidR="00D028A6" w:rsidRDefault="00D028A6" w:rsidP="00D028A6">
      <w:pPr>
        <w:tabs>
          <w:tab w:val="left" w:pos="1620"/>
        </w:tabs>
        <w:rPr>
          <w:sz w:val="24"/>
        </w:rPr>
      </w:pPr>
      <w:r>
        <w:rPr>
          <w:b/>
          <w:bCs/>
          <w:sz w:val="24"/>
        </w:rPr>
        <w:t>To:</w:t>
      </w:r>
      <w:r>
        <w:rPr>
          <w:sz w:val="24"/>
        </w:rPr>
        <w:tab/>
      </w:r>
      <w:r>
        <w:rPr>
          <w:sz w:val="24"/>
        </w:rPr>
        <w:tab/>
        <w:t xml:space="preserve">Chair </w:t>
      </w:r>
      <w:proofErr w:type="spellStart"/>
      <w:r>
        <w:rPr>
          <w:sz w:val="24"/>
        </w:rPr>
        <w:t>Boepple</w:t>
      </w:r>
      <w:proofErr w:type="spellEnd"/>
      <w:r>
        <w:rPr>
          <w:sz w:val="24"/>
        </w:rPr>
        <w:t xml:space="preserve"> and Members of the Portland Planning Board</w:t>
      </w:r>
      <w:r>
        <w:rPr>
          <w:sz w:val="24"/>
        </w:rPr>
        <w:tab/>
      </w:r>
    </w:p>
    <w:p w:rsidR="00D028A6" w:rsidRDefault="00D028A6" w:rsidP="00D028A6">
      <w:pPr>
        <w:tabs>
          <w:tab w:val="left" w:pos="1620"/>
        </w:tabs>
        <w:rPr>
          <w:sz w:val="16"/>
          <w:szCs w:val="16"/>
        </w:rPr>
      </w:pPr>
    </w:p>
    <w:p w:rsidR="00D028A6" w:rsidRDefault="00D028A6" w:rsidP="00D028A6">
      <w:pPr>
        <w:tabs>
          <w:tab w:val="left" w:pos="1620"/>
        </w:tabs>
        <w:rPr>
          <w:sz w:val="24"/>
        </w:rPr>
      </w:pPr>
      <w:r>
        <w:rPr>
          <w:b/>
          <w:bCs/>
          <w:sz w:val="24"/>
        </w:rPr>
        <w:t>From:</w:t>
      </w:r>
      <w:r>
        <w:rPr>
          <w:sz w:val="24"/>
        </w:rPr>
        <w:tab/>
      </w:r>
      <w:r>
        <w:rPr>
          <w:sz w:val="24"/>
        </w:rPr>
        <w:tab/>
        <w:t>Jean Fraser, Planner</w:t>
      </w:r>
    </w:p>
    <w:p w:rsidR="00D028A6" w:rsidRDefault="00D028A6" w:rsidP="00D028A6">
      <w:pPr>
        <w:tabs>
          <w:tab w:val="left" w:pos="1620"/>
        </w:tabs>
        <w:rPr>
          <w:b/>
          <w:bCs/>
          <w:sz w:val="16"/>
          <w:szCs w:val="16"/>
        </w:rPr>
      </w:pPr>
    </w:p>
    <w:p w:rsidR="00D028A6" w:rsidRDefault="00D028A6" w:rsidP="00D028A6">
      <w:pPr>
        <w:tabs>
          <w:tab w:val="left" w:pos="1620"/>
        </w:tabs>
        <w:rPr>
          <w:sz w:val="16"/>
          <w:szCs w:val="16"/>
        </w:rPr>
      </w:pPr>
      <w:r>
        <w:rPr>
          <w:b/>
          <w:bCs/>
          <w:sz w:val="24"/>
        </w:rPr>
        <w:t>Date:</w:t>
      </w:r>
      <w:r>
        <w:rPr>
          <w:b/>
          <w:bCs/>
          <w:sz w:val="24"/>
        </w:rPr>
        <w:tab/>
      </w:r>
      <w:r>
        <w:rPr>
          <w:sz w:val="24"/>
        </w:rPr>
        <w:tab/>
      </w:r>
      <w:r>
        <w:rPr>
          <w:sz w:val="24"/>
        </w:rPr>
        <w:t>March 22, 2016</w:t>
      </w:r>
    </w:p>
    <w:p w:rsidR="00D028A6" w:rsidRDefault="00D028A6" w:rsidP="00D028A6">
      <w:pPr>
        <w:tabs>
          <w:tab w:val="left" w:pos="1620"/>
        </w:tabs>
        <w:rPr>
          <w:b/>
          <w:bCs/>
          <w:sz w:val="24"/>
        </w:rPr>
      </w:pPr>
      <w:r>
        <w:rPr>
          <w:b/>
          <w:sz w:val="24"/>
        </w:rPr>
        <w:t>R</w:t>
      </w:r>
      <w:r>
        <w:rPr>
          <w:b/>
          <w:bCs/>
          <w:sz w:val="24"/>
        </w:rPr>
        <w:t>e:</w:t>
      </w:r>
      <w:r>
        <w:rPr>
          <w:b/>
          <w:bCs/>
          <w:sz w:val="24"/>
        </w:rPr>
        <w:tab/>
      </w:r>
      <w:r>
        <w:rPr>
          <w:b/>
          <w:bCs/>
          <w:sz w:val="24"/>
        </w:rPr>
        <w:tab/>
      </w:r>
      <w:r>
        <w:rPr>
          <w:b/>
          <w:bCs/>
          <w:sz w:val="24"/>
        </w:rPr>
        <w:t>March 22, 2016 Planning Board Hearing</w:t>
      </w:r>
    </w:p>
    <w:p w:rsidR="00D028A6" w:rsidRDefault="00D028A6" w:rsidP="00D028A6">
      <w:pPr>
        <w:tabs>
          <w:tab w:val="left" w:pos="1620"/>
        </w:tabs>
        <w:ind w:right="-630"/>
        <w:rPr>
          <w:b/>
          <w:bCs/>
          <w:sz w:val="24"/>
        </w:rPr>
      </w:pPr>
      <w:r>
        <w:rPr>
          <w:b/>
          <w:bCs/>
          <w:sz w:val="24"/>
        </w:rPr>
        <w:tab/>
      </w:r>
      <w:r>
        <w:rPr>
          <w:b/>
          <w:bCs/>
          <w:sz w:val="24"/>
        </w:rPr>
        <w:tab/>
      </w:r>
      <w:r>
        <w:rPr>
          <w:b/>
          <w:bCs/>
          <w:sz w:val="24"/>
        </w:rPr>
        <w:t>PROPOSED ADDITIONAL SITE PLAN CONDITION OF APPROVAL</w:t>
      </w:r>
    </w:p>
    <w:p w:rsidR="00D028A6" w:rsidRDefault="00D028A6" w:rsidP="00D028A6">
      <w:pPr>
        <w:tabs>
          <w:tab w:val="left" w:pos="1620"/>
        </w:tabs>
        <w:rPr>
          <w:bCs/>
          <w:sz w:val="24"/>
        </w:rPr>
      </w:pPr>
      <w:r>
        <w:rPr>
          <w:bCs/>
          <w:sz w:val="24"/>
        </w:rPr>
        <w:tab/>
      </w:r>
      <w:r>
        <w:rPr>
          <w:bCs/>
          <w:sz w:val="24"/>
        </w:rPr>
        <w:tab/>
      </w:r>
      <w:r>
        <w:rPr>
          <w:bCs/>
          <w:sz w:val="24"/>
        </w:rPr>
        <w:t>Level III Subdivision and Site Plan:</w:t>
      </w:r>
    </w:p>
    <w:p w:rsidR="00D028A6" w:rsidRDefault="00D028A6" w:rsidP="00D028A6">
      <w:pPr>
        <w:tabs>
          <w:tab w:val="left" w:pos="1620"/>
        </w:tabs>
        <w:rPr>
          <w:bCs/>
          <w:sz w:val="24"/>
        </w:rPr>
      </w:pPr>
      <w:r>
        <w:rPr>
          <w:b/>
          <w:bCs/>
          <w:sz w:val="24"/>
        </w:rPr>
        <w:tab/>
      </w:r>
      <w:r>
        <w:rPr>
          <w:b/>
          <w:bCs/>
          <w:sz w:val="24"/>
        </w:rPr>
        <w:tab/>
      </w:r>
      <w:r>
        <w:rPr>
          <w:bCs/>
          <w:sz w:val="24"/>
        </w:rPr>
        <w:t xml:space="preserve">Redevelopment to create 4 residential units, 31 Fore Street </w:t>
      </w:r>
    </w:p>
    <w:p w:rsidR="00D028A6" w:rsidRDefault="00D028A6" w:rsidP="00D028A6">
      <w:pPr>
        <w:tabs>
          <w:tab w:val="left" w:pos="1620"/>
        </w:tabs>
        <w:rPr>
          <w:bCs/>
          <w:sz w:val="24"/>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327660</wp:posOffset>
                </wp:positionV>
                <wp:extent cx="6256020" cy="22860"/>
                <wp:effectExtent l="0" t="0" r="30480" b="342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6020" cy="228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812A" id="Straight Connector 8"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1.4pt,25.8pt" to="934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" strokeweight="1.5pt">
                <w10:wrap anchorx="margin"/>
              </v:line>
            </w:pict>
          </mc:Fallback>
        </mc:AlternateContent>
      </w:r>
      <w:r>
        <w:rPr>
          <w:b/>
          <w:bCs/>
          <w:sz w:val="24"/>
        </w:rPr>
        <w:tab/>
      </w:r>
      <w:r>
        <w:rPr>
          <w:b/>
          <w:bCs/>
          <w:sz w:val="24"/>
        </w:rPr>
        <w:tab/>
      </w:r>
      <w:r>
        <w:rPr>
          <w:bCs/>
          <w:sz w:val="24"/>
        </w:rPr>
        <w:t>Bob and Carrie LeBlanc,</w:t>
      </w:r>
      <w:r>
        <w:rPr>
          <w:b/>
          <w:bCs/>
          <w:sz w:val="24"/>
        </w:rPr>
        <w:t xml:space="preserve"> </w:t>
      </w:r>
      <w:r>
        <w:rPr>
          <w:bCs/>
          <w:sz w:val="24"/>
        </w:rPr>
        <w:t>Peninsula Property Development,</w:t>
      </w:r>
      <w:r>
        <w:rPr>
          <w:b/>
          <w:bCs/>
          <w:sz w:val="24"/>
        </w:rPr>
        <w:t xml:space="preserve"> </w:t>
      </w:r>
      <w:r>
        <w:rPr>
          <w:bCs/>
          <w:sz w:val="24"/>
        </w:rPr>
        <w:t>Applicants</w:t>
      </w:r>
      <w:r>
        <w:rPr>
          <w:bCs/>
          <w:sz w:val="24"/>
        </w:rPr>
        <w:tab/>
      </w:r>
    </w:p>
    <w:p w:rsidR="00D028A6" w:rsidRDefault="00D028A6" w:rsidP="00D028A6">
      <w:pPr>
        <w:tabs>
          <w:tab w:val="left" w:pos="1620"/>
        </w:tabs>
        <w:rPr>
          <w:bCs/>
          <w:sz w:val="24"/>
        </w:rPr>
      </w:pPr>
    </w:p>
    <w:p w:rsidR="00D028A6" w:rsidRDefault="00D028A6" w:rsidP="00D028A6">
      <w:pPr>
        <w:tabs>
          <w:tab w:val="left" w:pos="1620"/>
        </w:tabs>
        <w:rPr>
          <w:sz w:val="16"/>
          <w:szCs w:val="16"/>
        </w:rPr>
      </w:pPr>
      <w:r>
        <w:rPr>
          <w:bCs/>
          <w:sz w:val="24"/>
        </w:rPr>
        <w:tab/>
      </w:r>
      <w:r>
        <w:rPr>
          <w:bCs/>
          <w:sz w:val="24"/>
        </w:rPr>
        <w:tab/>
      </w:r>
    </w:p>
    <w:p w:rsidR="00D028A6" w:rsidRDefault="00D028A6" w:rsidP="00D028A6">
      <w:pPr>
        <w:rPr>
          <w:bCs/>
          <w:sz w:val="24"/>
        </w:rPr>
      </w:pPr>
    </w:p>
    <w:p w:rsidR="00D028A6" w:rsidRDefault="00D028A6" w:rsidP="00D028A6">
      <w:pPr>
        <w:rPr>
          <w:b/>
          <w:sz w:val="24"/>
        </w:rPr>
      </w:pPr>
      <w:r>
        <w:rPr>
          <w:b/>
          <w:bCs/>
          <w:sz w:val="24"/>
        </w:rPr>
        <w:t>I.</w:t>
      </w:r>
      <w:r>
        <w:rPr>
          <w:b/>
          <w:bCs/>
          <w:sz w:val="24"/>
        </w:rPr>
        <w:tab/>
        <w:t>INTRODUCTION</w:t>
      </w:r>
    </w:p>
    <w:p w:rsidR="00D028A6" w:rsidRDefault="00D028A6" w:rsidP="00D028A6">
      <w:pPr>
        <w:rPr>
          <w:sz w:val="24"/>
        </w:rPr>
      </w:pPr>
      <w:r>
        <w:rPr>
          <w:sz w:val="24"/>
        </w:rPr>
        <w:t>Since preparing the PB Hearing Report for this project, staff have noted that the proposals do not clarify how the parking layout meets the Fair Housing Act requirement for one ADA accessible parking space within the parking garage.  The accessible access (from Waterville Street) enters the garage near a parking space and leads to the elevator, but the extra access aisle beside an ADA space has not been shown in the layout of the parking spaces (</w:t>
      </w:r>
      <w:r w:rsidRPr="00D028A6">
        <w:rPr>
          <w:sz w:val="24"/>
          <w:u w:val="single"/>
        </w:rPr>
        <w:t>Plan P4 and P9</w:t>
      </w:r>
      <w:r>
        <w:rPr>
          <w:sz w:val="24"/>
        </w:rPr>
        <w:t>).</w:t>
      </w:r>
    </w:p>
    <w:p w:rsidR="00D028A6" w:rsidRDefault="00D028A6" w:rsidP="00D028A6">
      <w:pPr>
        <w:rPr>
          <w:sz w:val="24"/>
        </w:rPr>
      </w:pPr>
    </w:p>
    <w:p w:rsidR="00D028A6" w:rsidRDefault="00D028A6" w:rsidP="00D028A6">
      <w:pPr>
        <w:rPr>
          <w:sz w:val="24"/>
        </w:rPr>
      </w:pPr>
      <w:r>
        <w:rPr>
          <w:sz w:val="24"/>
        </w:rPr>
        <w:t xml:space="preserve">Staff recommend that an additional condition be considered that requires the parking spaces to be reconfigured to allow one of the spaces to meet the ADA Fair Housing Act requirements.  </w:t>
      </w:r>
    </w:p>
    <w:p w:rsidR="00D028A6" w:rsidRDefault="00D028A6" w:rsidP="00D028A6">
      <w:pPr>
        <w:rPr>
          <w:sz w:val="24"/>
        </w:rPr>
      </w:pPr>
    </w:p>
    <w:p w:rsidR="00D028A6" w:rsidRDefault="00D028A6" w:rsidP="00D028A6">
      <w:pPr>
        <w:rPr>
          <w:sz w:val="24"/>
        </w:rPr>
      </w:pPr>
      <w:r>
        <w:rPr>
          <w:sz w:val="24"/>
        </w:rPr>
        <w:t>The six spaces as shown in the plans are all of standard size</w:t>
      </w:r>
      <w:r w:rsidR="00A1281B">
        <w:rPr>
          <w:sz w:val="24"/>
        </w:rPr>
        <w:t xml:space="preserve"> with a wider than required drive </w:t>
      </w:r>
      <w:proofErr w:type="gramStart"/>
      <w:r w:rsidR="00A1281B">
        <w:rPr>
          <w:sz w:val="24"/>
        </w:rPr>
        <w:t xml:space="preserve">aisle; </w:t>
      </w:r>
      <w:r w:rsidR="00AB4B9B">
        <w:rPr>
          <w:sz w:val="24"/>
        </w:rPr>
        <w:t xml:space="preserve"> the</w:t>
      </w:r>
      <w:proofErr w:type="gramEnd"/>
      <w:r w:rsidR="00AB4B9B">
        <w:rPr>
          <w:sz w:val="24"/>
        </w:rPr>
        <w:t xml:space="preserve"> zoning requirement for this development would be one parking space. Ad</w:t>
      </w:r>
      <w:r>
        <w:rPr>
          <w:sz w:val="24"/>
        </w:rPr>
        <w:t xml:space="preserve">ditional space for an ADA access aisle could be made available by </w:t>
      </w:r>
      <w:r w:rsidR="00A1281B">
        <w:rPr>
          <w:sz w:val="24"/>
        </w:rPr>
        <w:t xml:space="preserve">reducing the width of the parking aisle; </w:t>
      </w:r>
      <w:r w:rsidR="00AB4B9B">
        <w:rPr>
          <w:sz w:val="24"/>
        </w:rPr>
        <w:t>converting up to 2 spaces to be compact size;</w:t>
      </w:r>
      <w:r>
        <w:rPr>
          <w:sz w:val="24"/>
        </w:rPr>
        <w:t xml:space="preserve"> reconfiguring the stor</w:t>
      </w:r>
      <w:r w:rsidR="00AB4B9B">
        <w:rPr>
          <w:sz w:val="24"/>
        </w:rPr>
        <w:t>age space; and/</w:t>
      </w:r>
      <w:r>
        <w:rPr>
          <w:sz w:val="24"/>
        </w:rPr>
        <w:t>or reducing the</w:t>
      </w:r>
      <w:r w:rsidR="00AB4B9B">
        <w:rPr>
          <w:sz w:val="24"/>
        </w:rPr>
        <w:t xml:space="preserve"> overall</w:t>
      </w:r>
      <w:r>
        <w:rPr>
          <w:sz w:val="24"/>
        </w:rPr>
        <w:t xml:space="preserve"> number of spaces.</w:t>
      </w:r>
    </w:p>
    <w:p w:rsidR="00D028A6" w:rsidRDefault="00D028A6" w:rsidP="00D028A6">
      <w:pPr>
        <w:rPr>
          <w:sz w:val="24"/>
        </w:rPr>
      </w:pPr>
    </w:p>
    <w:p w:rsidR="00D028A6" w:rsidRDefault="00D028A6" w:rsidP="00D028A6">
      <w:pPr>
        <w:rPr>
          <w:sz w:val="24"/>
        </w:rPr>
      </w:pPr>
      <w:r w:rsidRPr="00D028A6">
        <w:rPr>
          <w:b/>
          <w:sz w:val="24"/>
        </w:rPr>
        <w:t>II</w:t>
      </w:r>
      <w:r>
        <w:rPr>
          <w:sz w:val="24"/>
        </w:rPr>
        <w:t>.</w:t>
      </w:r>
      <w:r>
        <w:rPr>
          <w:sz w:val="24"/>
        </w:rPr>
        <w:tab/>
      </w:r>
      <w:r w:rsidRPr="00D028A6">
        <w:rPr>
          <w:b/>
          <w:sz w:val="24"/>
        </w:rPr>
        <w:t>PROPOSED ADDITIONAL COND</w:t>
      </w:r>
      <w:r w:rsidR="00AB4B9B">
        <w:rPr>
          <w:b/>
          <w:sz w:val="24"/>
        </w:rPr>
        <w:t>I</w:t>
      </w:r>
      <w:r w:rsidRPr="00D028A6">
        <w:rPr>
          <w:b/>
          <w:sz w:val="24"/>
        </w:rPr>
        <w:t>TION</w:t>
      </w:r>
    </w:p>
    <w:p w:rsidR="00D028A6" w:rsidRDefault="00D028A6" w:rsidP="00D028A6">
      <w:pPr>
        <w:rPr>
          <w:sz w:val="24"/>
        </w:rPr>
      </w:pPr>
    </w:p>
    <w:p w:rsidR="00AB4B9B" w:rsidRPr="00AB4B9B" w:rsidRDefault="00AB4B9B" w:rsidP="00AB4B9B">
      <w:pPr>
        <w:ind w:left="720"/>
        <w:rPr>
          <w:i/>
          <w:sz w:val="24"/>
        </w:rPr>
      </w:pPr>
      <w:r w:rsidRPr="00AB4B9B">
        <w:rPr>
          <w:i/>
          <w:sz w:val="24"/>
        </w:rPr>
        <w:t xml:space="preserve">vii.   </w:t>
      </w:r>
      <w:r w:rsidRPr="00AB4B9B">
        <w:rPr>
          <w:i/>
          <w:sz w:val="24"/>
        </w:rPr>
        <w:t xml:space="preserve">That the applicant shall submit a revised </w:t>
      </w:r>
      <w:r>
        <w:rPr>
          <w:i/>
          <w:sz w:val="24"/>
        </w:rPr>
        <w:t xml:space="preserve">parking layout within the parking garage to show an ADA compliant parking space, for review and approval by the Planning Authority prior to the issuance of a building permit.  The applicant may convert up to 2 spaces to be less than standard size and may reduce the number of parking spaces to meet this requirement, subject to meeting zoning </w:t>
      </w:r>
      <w:r w:rsidR="00A1281B">
        <w:rPr>
          <w:i/>
          <w:sz w:val="24"/>
        </w:rPr>
        <w:t>requirements and satisfying the Traffic Engineer regarding operation.</w:t>
      </w:r>
    </w:p>
    <w:sectPr w:rsidR="00AB4B9B" w:rsidRPr="00AB4B9B" w:rsidSect="00F23C6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A6"/>
    <w:rsid w:val="002E0186"/>
    <w:rsid w:val="0089025C"/>
    <w:rsid w:val="00A1281B"/>
    <w:rsid w:val="00AB4B9B"/>
    <w:rsid w:val="00D028A6"/>
    <w:rsid w:val="00F2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17D7"/>
  <w15:chartTrackingRefBased/>
  <w15:docId w15:val="{8D31AF57-8914-4332-A7A4-4434D87B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28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nhideWhenUsed/>
    <w:qFormat/>
    <w:rsid w:val="00D028A6"/>
    <w:pPr>
      <w:keepNext/>
      <w:widowControl/>
      <w:autoSpaceDE/>
      <w:autoSpaceDN/>
      <w:adjustRightInd/>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28A6"/>
    <w:rPr>
      <w:rFonts w:ascii="Arial" w:eastAsia="Times New Roman" w:hAnsi="Arial"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0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2</cp:revision>
  <cp:lastPrinted>2016-03-22T20:06:00Z</cp:lastPrinted>
  <dcterms:created xsi:type="dcterms:W3CDTF">2016-03-22T22:31:00Z</dcterms:created>
  <dcterms:modified xsi:type="dcterms:W3CDTF">2016-03-22T22:31:00Z</dcterms:modified>
</cp:coreProperties>
</file>