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3830"/>
        <w:gridCol w:w="7380"/>
      </w:tblGrid>
      <w:tr w:rsidR="001634E4" w:rsidRPr="00CE1F02" w:rsidTr="007503B5">
        <w:tc>
          <w:tcPr>
            <w:tcW w:w="13158" w:type="dxa"/>
            <w:gridSpan w:val="3"/>
          </w:tcPr>
          <w:p w:rsidR="001634E4" w:rsidRPr="00741504" w:rsidRDefault="001634E4" w:rsidP="008E2E63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65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Munjoy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Street – 8 units</w:t>
            </w:r>
          </w:p>
        </w:tc>
      </w:tr>
      <w:tr w:rsidR="001634E4" w:rsidRPr="00CE1F02" w:rsidTr="007503B5">
        <w:tc>
          <w:tcPr>
            <w:tcW w:w="1948" w:type="dxa"/>
          </w:tcPr>
          <w:p w:rsidR="001634E4" w:rsidRPr="00741504" w:rsidRDefault="001634E4" w:rsidP="008E2E63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8E2E63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1634E4" w:rsidRPr="00741504" w:rsidRDefault="001634E4" w:rsidP="008E2E63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</w:tr>
      <w:tr w:rsidR="001634E4" w:rsidRPr="00CE1F02" w:rsidTr="007503B5">
        <w:tc>
          <w:tcPr>
            <w:tcW w:w="1948" w:type="dxa"/>
            <w:vMerge w:val="restart"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1"/>
                <w:numId w:val="1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Impact on Surrounding Street Systems</w:t>
            </w:r>
          </w:p>
        </w:tc>
        <w:tc>
          <w:tcPr>
            <w:tcW w:w="7380" w:type="dxa"/>
          </w:tcPr>
          <w:p w:rsidR="001634E4" w:rsidRPr="00312F72" w:rsidRDefault="001634E4" w:rsidP="001634E4">
            <w:pPr>
              <w:pStyle w:val="ListParagraph"/>
              <w:numPr>
                <w:ilvl w:val="0"/>
                <w:numId w:val="5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1"/>
                <w:numId w:val="1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Access and Circulation</w:t>
            </w:r>
          </w:p>
        </w:tc>
        <w:tc>
          <w:tcPr>
            <w:tcW w:w="7380" w:type="dxa"/>
          </w:tcPr>
          <w:p w:rsidR="001634E4" w:rsidRDefault="001634E4" w:rsidP="001634E4">
            <w:pPr>
              <w:pStyle w:val="ListParagraph"/>
              <w:numPr>
                <w:ilvl w:val="0"/>
                <w:numId w:val="5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turning templates showing access to parking spaces</w:t>
            </w:r>
          </w:p>
          <w:p w:rsidR="001634E4" w:rsidRPr="007503B5" w:rsidRDefault="007503B5" w:rsidP="00C0304F">
            <w:pPr>
              <w:pStyle w:val="ListParagraph"/>
              <w:numPr>
                <w:ilvl w:val="0"/>
                <w:numId w:val="5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Provide graphic depicting accessible route </w:t>
            </w:r>
            <w:r w:rsidR="00C0304F">
              <w:rPr>
                <w:rFonts w:asciiTheme="minorHAnsi" w:hAnsiTheme="minorHAnsi" w:cstheme="minorHAnsi"/>
                <w:sz w:val="20"/>
                <w:szCs w:val="20"/>
              </w:rPr>
              <w:t>from sidewalk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In revised plans, show ADA accessible parking spaces as well. </w:t>
            </w:r>
            <w:r w:rsidR="00482B99">
              <w:rPr>
                <w:rFonts w:asciiTheme="minorHAnsi" w:hAnsiTheme="minorHAnsi" w:cstheme="minorHAnsi"/>
                <w:sz w:val="20"/>
                <w:szCs w:val="20"/>
              </w:rPr>
              <w:t xml:space="preserve"> Additional comments on the ADA access may be forthcoming.</w:t>
            </w:r>
            <w:bookmarkStart w:id="0" w:name="_GoBack"/>
            <w:bookmarkEnd w:id="0"/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1"/>
                <w:numId w:val="1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Transit Access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7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1"/>
                <w:numId w:val="1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Parking</w:t>
            </w:r>
          </w:p>
        </w:tc>
        <w:tc>
          <w:tcPr>
            <w:tcW w:w="7380" w:type="dxa"/>
          </w:tcPr>
          <w:p w:rsidR="001634E4" w:rsidRDefault="007503B5" w:rsidP="007503B5">
            <w:pPr>
              <w:pStyle w:val="ListParagraph"/>
              <w:numPr>
                <w:ilvl w:val="0"/>
                <w:numId w:val="5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will prevent parked cars from encroaching on utility closets or rear door?</w:t>
            </w:r>
          </w:p>
          <w:p w:rsidR="001634E4" w:rsidRPr="00D967AF" w:rsidRDefault="001634E4" w:rsidP="008E2E63">
            <w:pPr>
              <w:pStyle w:val="ListParagraph"/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1"/>
                <w:numId w:val="1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Transportation Demand Management (TDM)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 w:val="restart"/>
          </w:tcPr>
          <w:p w:rsidR="001634E4" w:rsidRPr="007503B5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503B5">
              <w:rPr>
                <w:rFonts w:asciiTheme="minorHAnsi" w:hAnsiTheme="minorHAnsi" w:cstheme="minorHAnsi"/>
                <w:b/>
                <w:sz w:val="20"/>
                <w:szCs w:val="20"/>
              </w:rPr>
              <w:t>Environmental Quality</w:t>
            </w:r>
          </w:p>
        </w:tc>
        <w:tc>
          <w:tcPr>
            <w:tcW w:w="3830" w:type="dxa"/>
          </w:tcPr>
          <w:p w:rsidR="001634E4" w:rsidRPr="007503B5" w:rsidRDefault="001634E4" w:rsidP="001634E4">
            <w:pPr>
              <w:numPr>
                <w:ilvl w:val="0"/>
                <w:numId w:val="2"/>
              </w:numPr>
              <w:tabs>
                <w:tab w:val="clear" w:pos="108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503B5">
              <w:rPr>
                <w:rFonts w:asciiTheme="minorHAnsi" w:hAnsiTheme="minorHAnsi" w:cstheme="minorHAnsi"/>
                <w:sz w:val="20"/>
                <w:szCs w:val="20"/>
              </w:rPr>
              <w:t>Preservation of Significant Natural Features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503B5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503B5" w:rsidRDefault="001634E4" w:rsidP="001634E4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503B5">
              <w:rPr>
                <w:rFonts w:asciiTheme="minorHAnsi" w:hAnsiTheme="minorHAnsi" w:cstheme="minorHAnsi"/>
                <w:sz w:val="20"/>
                <w:szCs w:val="20"/>
              </w:rPr>
              <w:t>Landscaping and Landscape Preservation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Street tree standard for multi-family (TM 4.6.1):1 tree/unit in ROW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 8 required, 1 provided, 1 existing.  Contribution for 6 remaining.</w:t>
            </w:r>
          </w:p>
          <w:p w:rsidR="001634E4" w:rsidRPr="00A21ABA" w:rsidRDefault="001634E4" w:rsidP="001634E4">
            <w:pPr>
              <w:pStyle w:val="ListParagraph"/>
              <w:numPr>
                <w:ilvl w:val="0"/>
                <w:numId w:val="6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Water Quality, Storm Water Management and Erosion Control</w:t>
            </w:r>
          </w:p>
        </w:tc>
        <w:tc>
          <w:tcPr>
            <w:tcW w:w="7380" w:type="dxa"/>
          </w:tcPr>
          <w:p w:rsidR="001634E4" w:rsidRPr="006B3F2B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 w:val="restart"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Infrastructure and Community Safety </w:t>
            </w: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Consistency with Master Plans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Safety and Fire Prevention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Availability and Adequate Capacity of Public Utilities</w:t>
            </w:r>
          </w:p>
        </w:tc>
        <w:tc>
          <w:tcPr>
            <w:tcW w:w="7380" w:type="dxa"/>
          </w:tcPr>
          <w:p w:rsidR="007503B5" w:rsidRDefault="007503B5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OHE to property to south appears to cut through proposed building.  Please provide alternative in revised plans. </w:t>
            </w:r>
          </w:p>
          <w:p w:rsidR="007503B5" w:rsidRDefault="007503B5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Electrical service also appears to conflict with the existing street tree. </w:t>
            </w:r>
          </w:p>
          <w:p w:rsidR="001634E4" w:rsidRPr="007503B5" w:rsidRDefault="001634E4" w:rsidP="007503B5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PWD capacity, DPW capacity</w:t>
            </w:r>
          </w:p>
        </w:tc>
      </w:tr>
      <w:tr w:rsidR="001634E4" w:rsidRPr="00CE1F02" w:rsidTr="007503B5">
        <w:tc>
          <w:tcPr>
            <w:tcW w:w="1948" w:type="dxa"/>
            <w:vMerge w:val="restart"/>
          </w:tcPr>
          <w:p w:rsidR="001634E4" w:rsidRPr="00741504" w:rsidRDefault="001634E4" w:rsidP="008E2E63">
            <w:pPr>
              <w:ind w:lef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Site Design</w:t>
            </w: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Massing, Ventilation and Wind Impact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Shadows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Snow and Ice Loading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View Corridors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 xml:space="preserve">Historic Resources </w:t>
            </w:r>
          </w:p>
        </w:tc>
        <w:tc>
          <w:tcPr>
            <w:tcW w:w="7380" w:type="dxa"/>
          </w:tcPr>
          <w:p w:rsidR="001634E4" w:rsidRPr="00FD1D5F" w:rsidRDefault="001634E4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Exterior Lighting</w:t>
            </w:r>
          </w:p>
        </w:tc>
        <w:tc>
          <w:tcPr>
            <w:tcW w:w="7380" w:type="dxa"/>
          </w:tcPr>
          <w:p w:rsidR="001634E4" w:rsidRPr="00213E26" w:rsidRDefault="003A38EE" w:rsidP="001634E4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cobrahead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necessary?  Or could this be removed in favor of site lighting?</w:t>
            </w: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741504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741504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Noise and Vibration</w:t>
            </w:r>
          </w:p>
        </w:tc>
        <w:tc>
          <w:tcPr>
            <w:tcW w:w="7380" w:type="dxa"/>
          </w:tcPr>
          <w:p w:rsidR="001634E4" w:rsidRPr="006B3F2B" w:rsidRDefault="001634E4" w:rsidP="0047460C">
            <w:pPr>
              <w:pStyle w:val="ListParagraph"/>
              <w:ind w:left="52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CE1F02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CE1F02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Signage and Wayfinding</w:t>
            </w:r>
          </w:p>
        </w:tc>
        <w:tc>
          <w:tcPr>
            <w:tcW w:w="7380" w:type="dxa"/>
          </w:tcPr>
          <w:p w:rsidR="001634E4" w:rsidRPr="00CE1F02" w:rsidRDefault="001634E4" w:rsidP="008E2E63">
            <w:pPr>
              <w:ind w:left="432" w:hanging="2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4E4" w:rsidRPr="00CE1F02" w:rsidTr="007503B5">
        <w:tc>
          <w:tcPr>
            <w:tcW w:w="1948" w:type="dxa"/>
            <w:vMerge/>
          </w:tcPr>
          <w:p w:rsidR="001634E4" w:rsidRPr="00CE1F02" w:rsidRDefault="001634E4" w:rsidP="008E2E6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="001634E4" w:rsidRPr="00CE1F02" w:rsidRDefault="001634E4" w:rsidP="001634E4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Zoning Related Design Standards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(R-6 design guidelines)</w:t>
            </w:r>
          </w:p>
        </w:tc>
        <w:tc>
          <w:tcPr>
            <w:tcW w:w="7380" w:type="dxa"/>
          </w:tcPr>
          <w:p w:rsidR="001634E4" w:rsidRPr="00621B4C" w:rsidRDefault="001634E4" w:rsidP="001634E4">
            <w:pPr>
              <w:pStyle w:val="ListParagraph"/>
              <w:numPr>
                <w:ilvl w:val="0"/>
                <w:numId w:val="6"/>
              </w:numPr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34E4" w:rsidRPr="00CE1F02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Waivers</w:t>
      </w:r>
    </w:p>
    <w:p w:rsidR="001634E4" w:rsidRPr="006A22CD" w:rsidRDefault="001634E4" w:rsidP="001634E4">
      <w:pPr>
        <w:rPr>
          <w:rFonts w:asciiTheme="minorHAnsi" w:hAnsiTheme="minorHAnsi" w:cstheme="minorHAnsi"/>
          <w:sz w:val="20"/>
          <w:szCs w:val="20"/>
        </w:rPr>
      </w:pPr>
      <w:r w:rsidRPr="006A22CD">
        <w:rPr>
          <w:rFonts w:asciiTheme="minorHAnsi" w:hAnsiTheme="minorHAnsi" w:cstheme="minorHAnsi"/>
          <w:sz w:val="20"/>
          <w:szCs w:val="20"/>
        </w:rPr>
        <w:t>Aisle width</w:t>
      </w:r>
    </w:p>
    <w:p w:rsidR="001634E4" w:rsidRPr="006A22CD" w:rsidRDefault="001634E4" w:rsidP="001634E4">
      <w:pPr>
        <w:rPr>
          <w:rFonts w:asciiTheme="minorHAnsi" w:hAnsiTheme="minorHAnsi" w:cstheme="minorHAnsi"/>
          <w:sz w:val="20"/>
          <w:szCs w:val="20"/>
        </w:rPr>
      </w:pPr>
      <w:r w:rsidRPr="006A22CD">
        <w:rPr>
          <w:rFonts w:asciiTheme="minorHAnsi" w:hAnsiTheme="minorHAnsi" w:cstheme="minorHAnsi"/>
          <w:sz w:val="20"/>
          <w:szCs w:val="20"/>
        </w:rPr>
        <w:t>Parking space dimensions</w:t>
      </w: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Additional Submittals Required</w:t>
      </w:r>
    </w:p>
    <w:p w:rsidR="001634E4" w:rsidRDefault="001634E4" w:rsidP="001634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Revised site plan (C1)</w:t>
      </w:r>
    </w:p>
    <w:p w:rsidR="001634E4" w:rsidRDefault="001634E4" w:rsidP="001634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Distance to property lines (front and sides)</w:t>
      </w:r>
    </w:p>
    <w:p w:rsidR="001634E4" w:rsidRDefault="001634E4" w:rsidP="001634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Material on driveway</w:t>
      </w:r>
    </w:p>
    <w:p w:rsidR="001634E4" w:rsidRPr="006A22CD" w:rsidRDefault="001634E4" w:rsidP="001634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Width of sidewalk</w:t>
      </w:r>
    </w:p>
    <w:p w:rsidR="001634E4" w:rsidRPr="009C60DF" w:rsidRDefault="001634E4" w:rsidP="001634E4">
      <w:pPr>
        <w:rPr>
          <w:rFonts w:asciiTheme="minorHAnsi" w:hAnsiTheme="minorHAnsi" w:cstheme="minorHAnsi"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Zoning</w:t>
      </w:r>
    </w:p>
    <w:p w:rsidR="001634E4" w:rsidRDefault="001634E4" w:rsidP="001634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Show full height on elevations (i.e. include distance from ground to FFE) </w:t>
      </w:r>
    </w:p>
    <w:p w:rsidR="001634E4" w:rsidRPr="006A22CD" w:rsidRDefault="001634E4" w:rsidP="001634E4">
      <w:pPr>
        <w:rPr>
          <w:rFonts w:asciiTheme="minorHAnsi" w:hAnsiTheme="minorHAnsi" w:cstheme="minorHAnsi"/>
          <w:sz w:val="20"/>
          <w:szCs w:val="20"/>
        </w:rPr>
      </w:pP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Easement</w:t>
      </w:r>
    </w:p>
    <w:p w:rsidR="001634E4" w:rsidRPr="006A22CD" w:rsidRDefault="001634E4" w:rsidP="001634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C2 notes need for temporary ‘grading</w:t>
      </w:r>
      <w:r w:rsidR="0047460C">
        <w:rPr>
          <w:rFonts w:asciiTheme="minorHAnsi" w:hAnsiTheme="minorHAnsi" w:cstheme="minorHAnsi"/>
          <w:sz w:val="20"/>
          <w:szCs w:val="20"/>
        </w:rPr>
        <w:t xml:space="preserve"> license’ for grading to swale </w:t>
      </w:r>
      <w:r>
        <w:rPr>
          <w:rFonts w:asciiTheme="minorHAnsi" w:hAnsiTheme="minorHAnsi" w:cstheme="minorHAnsi"/>
          <w:sz w:val="20"/>
          <w:szCs w:val="20"/>
        </w:rPr>
        <w:t>and catch basin at rear of site.</w:t>
      </w:r>
      <w:r w:rsidR="0047460C">
        <w:rPr>
          <w:rFonts w:asciiTheme="minorHAnsi" w:hAnsiTheme="minorHAnsi" w:cstheme="minorHAnsi"/>
          <w:sz w:val="20"/>
          <w:szCs w:val="20"/>
        </w:rPr>
        <w:t xml:space="preserve">  Landscaping plan also shows note reading –‘work with city arborist to finalize plant selections in this area’.  </w:t>
      </w:r>
      <w:r w:rsidR="00C0304F">
        <w:rPr>
          <w:rFonts w:asciiTheme="minorHAnsi" w:hAnsiTheme="minorHAnsi" w:cstheme="minorHAnsi"/>
          <w:sz w:val="20"/>
          <w:szCs w:val="20"/>
        </w:rPr>
        <w:t xml:space="preserve">An easement may technically be required pending further discussion with DPS. </w:t>
      </w:r>
    </w:p>
    <w:p w:rsidR="001634E4" w:rsidRDefault="001634E4" w:rsidP="001634E4">
      <w:pPr>
        <w:rPr>
          <w:rFonts w:asciiTheme="minorHAnsi" w:hAnsiTheme="minorHAnsi" w:cstheme="minorHAnsi"/>
          <w:b/>
          <w:sz w:val="20"/>
          <w:szCs w:val="20"/>
        </w:rPr>
      </w:pPr>
    </w:p>
    <w:p w:rsidR="001634E4" w:rsidRPr="009A7ABE" w:rsidRDefault="001634E4" w:rsidP="001634E4">
      <w:pPr>
        <w:rPr>
          <w:rFonts w:asciiTheme="minorHAnsi" w:hAnsiTheme="minorHAnsi" w:cstheme="minorHAnsi"/>
          <w:sz w:val="20"/>
          <w:szCs w:val="20"/>
        </w:rPr>
      </w:pPr>
    </w:p>
    <w:p w:rsidR="00733E4D" w:rsidRDefault="00733E4D"/>
    <w:sectPr w:rsidR="00733E4D" w:rsidSect="0047460C">
      <w:pgSz w:w="15840" w:h="12240" w:orient="landscape" w:code="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FC"/>
    <w:multiLevelType w:val="hybridMultilevel"/>
    <w:tmpl w:val="2E886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061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ED0DDB"/>
    <w:multiLevelType w:val="hybridMultilevel"/>
    <w:tmpl w:val="9D983858"/>
    <w:lvl w:ilvl="0" w:tplc="DD348C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950B7A"/>
    <w:multiLevelType w:val="hybridMultilevel"/>
    <w:tmpl w:val="1B061B02"/>
    <w:lvl w:ilvl="0" w:tplc="6358828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91A58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76E53"/>
    <w:multiLevelType w:val="hybridMultilevel"/>
    <w:tmpl w:val="28664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D867A4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92778"/>
    <w:multiLevelType w:val="hybridMultilevel"/>
    <w:tmpl w:val="37C03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A84C89"/>
    <w:multiLevelType w:val="hybridMultilevel"/>
    <w:tmpl w:val="D36ED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D9B7B00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E4"/>
    <w:rsid w:val="001634E4"/>
    <w:rsid w:val="003A38EE"/>
    <w:rsid w:val="0047460C"/>
    <w:rsid w:val="00482B99"/>
    <w:rsid w:val="00733E4D"/>
    <w:rsid w:val="007503B5"/>
    <w:rsid w:val="00C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4</cp:revision>
  <dcterms:created xsi:type="dcterms:W3CDTF">2015-12-30T19:46:00Z</dcterms:created>
  <dcterms:modified xsi:type="dcterms:W3CDTF">2015-12-31T20:47:00Z</dcterms:modified>
</cp:coreProperties>
</file>