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B4" w:rsidRDefault="00EA1CB4">
      <w:r>
        <w:rPr>
          <w:noProof/>
        </w:rPr>
        <w:drawing>
          <wp:inline distT="0" distB="0" distL="0" distR="0" wp14:anchorId="3EEFC26D" wp14:editId="0F02AC70">
            <wp:extent cx="548640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a:blip r:embed="rId9">
                      <a:extLst>
                        <a:ext uri="{28A0092B-C50C-407E-A947-70E740481C1C}">
                          <a14:useLocalDpi xmlns:a14="http://schemas.microsoft.com/office/drawing/2010/main" val="0"/>
                        </a:ext>
                      </a:extLst>
                    </a:blip>
                    <a:stretch>
                      <a:fillRect/>
                    </a:stretch>
                  </pic:blipFill>
                  <pic:spPr>
                    <a:xfrm>
                      <a:off x="0" y="0"/>
                      <a:ext cx="5486400" cy="944880"/>
                    </a:xfrm>
                    <a:prstGeom prst="rect">
                      <a:avLst/>
                    </a:prstGeom>
                  </pic:spPr>
                </pic:pic>
              </a:graphicData>
            </a:graphic>
          </wp:inline>
        </w:drawing>
      </w:r>
    </w:p>
    <w:p w:rsidR="00EA1CB4" w:rsidRDefault="00EA1CB4"/>
    <w:p w:rsidR="002E6EBA" w:rsidRDefault="002E6EBA">
      <w:pPr>
        <w:sectPr w:rsidR="002E6EBA" w:rsidSect="00FF400A">
          <w:headerReference w:type="even" r:id="rId10"/>
          <w:headerReference w:type="default" r:id="rId11"/>
          <w:footerReference w:type="even" r:id="rId12"/>
          <w:footerReference w:type="default" r:id="rId13"/>
          <w:headerReference w:type="first" r:id="rId14"/>
          <w:pgSz w:w="12240" w:h="15840"/>
          <w:pgMar w:top="720" w:right="1800" w:bottom="1440" w:left="1800" w:header="936" w:footer="1152" w:gutter="0"/>
          <w:cols w:space="720"/>
          <w:docGrid w:linePitch="360"/>
        </w:sectPr>
      </w:pPr>
    </w:p>
    <w:p w:rsidR="00611EE1" w:rsidRDefault="00611EE1"/>
    <w:p w:rsidR="00611EE1" w:rsidRPr="00EA1CB4" w:rsidRDefault="00611EE1">
      <w:pPr>
        <w:rPr>
          <w:rFonts w:ascii="Times New Roman" w:hAnsi="Times New Roman" w:cs="Times New Roman"/>
        </w:rPr>
      </w:pPr>
    </w:p>
    <w:p w:rsidR="00611EE1" w:rsidRPr="00EA1CB4" w:rsidRDefault="00EA1CB4">
      <w:pPr>
        <w:rPr>
          <w:rFonts w:ascii="Times New Roman" w:hAnsi="Times New Roman" w:cs="Times New Roman"/>
        </w:rPr>
      </w:pPr>
      <w:r w:rsidRPr="00EA1CB4">
        <w:rPr>
          <w:rFonts w:ascii="Times New Roman" w:hAnsi="Times New Roman" w:cs="Times New Roman"/>
        </w:rPr>
        <w:tab/>
      </w:r>
      <w:r w:rsidRPr="00EA1CB4">
        <w:rPr>
          <w:rFonts w:ascii="Times New Roman" w:hAnsi="Times New Roman" w:cs="Times New Roman"/>
        </w:rPr>
        <w:tab/>
      </w:r>
      <w:r w:rsidRPr="00EA1CB4">
        <w:rPr>
          <w:rFonts w:ascii="Times New Roman" w:hAnsi="Times New Roman" w:cs="Times New Roman"/>
        </w:rPr>
        <w:tab/>
      </w:r>
      <w:r w:rsidRPr="00EA1CB4">
        <w:rPr>
          <w:rFonts w:ascii="Times New Roman" w:hAnsi="Times New Roman" w:cs="Times New Roman"/>
        </w:rPr>
        <w:tab/>
      </w:r>
      <w:r w:rsidRPr="00EA1CB4">
        <w:rPr>
          <w:rFonts w:ascii="Times New Roman" w:hAnsi="Times New Roman" w:cs="Times New Roman"/>
        </w:rPr>
        <w:tab/>
      </w:r>
      <w:r w:rsidRPr="00EA1CB4">
        <w:rPr>
          <w:rFonts w:ascii="Times New Roman" w:hAnsi="Times New Roman" w:cs="Times New Roman"/>
        </w:rPr>
        <w:tab/>
      </w:r>
      <w:r w:rsidRPr="00EA1CB4">
        <w:rPr>
          <w:rFonts w:ascii="Times New Roman" w:hAnsi="Times New Roman" w:cs="Times New Roman"/>
        </w:rPr>
        <w:tab/>
      </w:r>
      <w:r w:rsidRPr="00EA1CB4">
        <w:rPr>
          <w:rFonts w:ascii="Times New Roman" w:hAnsi="Times New Roman" w:cs="Times New Roman"/>
        </w:rPr>
        <w:tab/>
        <w:t>May 19, 2014</w:t>
      </w:r>
    </w:p>
    <w:p w:rsidR="00EA1CB4" w:rsidRPr="00EA1CB4" w:rsidRDefault="00EA1CB4">
      <w:pPr>
        <w:rPr>
          <w:rFonts w:ascii="Times New Roman" w:hAnsi="Times New Roman" w:cs="Times New Roman"/>
        </w:rPr>
      </w:pPr>
    </w:p>
    <w:tbl>
      <w:tblPr>
        <w:tblStyle w:val="TableGrid"/>
        <w:tblW w:w="0" w:type="auto"/>
        <w:tblLook w:val="04A0" w:firstRow="1" w:lastRow="0" w:firstColumn="1" w:lastColumn="0" w:noHBand="0" w:noVBand="1"/>
      </w:tblPr>
      <w:tblGrid>
        <w:gridCol w:w="4428"/>
        <w:gridCol w:w="4428"/>
      </w:tblGrid>
      <w:tr w:rsidR="00EA1CB4" w:rsidRPr="00EA1CB4" w:rsidTr="00EA1CB4">
        <w:tc>
          <w:tcPr>
            <w:tcW w:w="4428" w:type="dxa"/>
            <w:tcBorders>
              <w:top w:val="nil"/>
              <w:left w:val="nil"/>
              <w:bottom w:val="nil"/>
              <w:right w:val="nil"/>
            </w:tcBorders>
          </w:tcPr>
          <w:p w:rsidR="00EA1CB4" w:rsidRPr="00EA1CB4" w:rsidRDefault="00EA1CB4">
            <w:pPr>
              <w:rPr>
                <w:rFonts w:ascii="Times New Roman" w:hAnsi="Times New Roman" w:cs="Times New Roman"/>
              </w:rPr>
            </w:pPr>
            <w:r w:rsidRPr="00EA1CB4">
              <w:rPr>
                <w:rFonts w:ascii="Times New Roman" w:hAnsi="Times New Roman" w:cs="Times New Roman"/>
              </w:rPr>
              <w:t xml:space="preserve">Geoffrey </w:t>
            </w:r>
            <w:proofErr w:type="spellStart"/>
            <w:r w:rsidRPr="00EA1CB4">
              <w:rPr>
                <w:rFonts w:ascii="Times New Roman" w:hAnsi="Times New Roman" w:cs="Times New Roman"/>
              </w:rPr>
              <w:t>Minte</w:t>
            </w:r>
            <w:proofErr w:type="spellEnd"/>
          </w:p>
          <w:p w:rsidR="00EA1CB4" w:rsidRPr="00EA1CB4" w:rsidRDefault="00EA1CB4">
            <w:pPr>
              <w:rPr>
                <w:rFonts w:ascii="Times New Roman" w:hAnsi="Times New Roman" w:cs="Times New Roman"/>
              </w:rPr>
            </w:pPr>
            <w:r w:rsidRPr="00EA1CB4">
              <w:rPr>
                <w:rFonts w:ascii="Times New Roman" w:hAnsi="Times New Roman" w:cs="Times New Roman"/>
              </w:rPr>
              <w:t>130 Eastern Promenade, LLC</w:t>
            </w:r>
          </w:p>
          <w:p w:rsidR="00EA1CB4" w:rsidRPr="00EA1CB4" w:rsidRDefault="00EA1CB4">
            <w:pPr>
              <w:rPr>
                <w:rFonts w:ascii="Times New Roman" w:hAnsi="Times New Roman" w:cs="Times New Roman"/>
              </w:rPr>
            </w:pPr>
            <w:r w:rsidRPr="00EA1CB4">
              <w:rPr>
                <w:rFonts w:ascii="Times New Roman" w:hAnsi="Times New Roman" w:cs="Times New Roman"/>
              </w:rPr>
              <w:t>110 Marginal Way  #212</w:t>
            </w:r>
          </w:p>
          <w:p w:rsidR="00EA1CB4" w:rsidRPr="00EA1CB4" w:rsidRDefault="00EA1CB4">
            <w:pPr>
              <w:rPr>
                <w:rFonts w:ascii="Times New Roman" w:hAnsi="Times New Roman" w:cs="Times New Roman"/>
              </w:rPr>
            </w:pPr>
            <w:r w:rsidRPr="00EA1CB4">
              <w:rPr>
                <w:rFonts w:ascii="Times New Roman" w:hAnsi="Times New Roman" w:cs="Times New Roman"/>
              </w:rPr>
              <w:t>Portland, ME 04101</w:t>
            </w:r>
          </w:p>
        </w:tc>
        <w:tc>
          <w:tcPr>
            <w:tcW w:w="4428" w:type="dxa"/>
            <w:tcBorders>
              <w:top w:val="nil"/>
              <w:left w:val="nil"/>
              <w:bottom w:val="nil"/>
              <w:right w:val="nil"/>
            </w:tcBorders>
          </w:tcPr>
          <w:p w:rsidR="00EA1CB4" w:rsidRPr="00EA1CB4" w:rsidRDefault="00EA1CB4">
            <w:pPr>
              <w:rPr>
                <w:rFonts w:ascii="Times New Roman" w:hAnsi="Times New Roman" w:cs="Times New Roman"/>
              </w:rPr>
            </w:pPr>
            <w:r w:rsidRPr="00EA1CB4">
              <w:rPr>
                <w:rFonts w:ascii="Times New Roman" w:hAnsi="Times New Roman" w:cs="Times New Roman"/>
              </w:rPr>
              <w:t>Patrick Carroll</w:t>
            </w:r>
          </w:p>
          <w:p w:rsidR="00EA1CB4" w:rsidRPr="00EA1CB4" w:rsidRDefault="00EA1CB4">
            <w:pPr>
              <w:rPr>
                <w:rFonts w:ascii="Times New Roman" w:hAnsi="Times New Roman" w:cs="Times New Roman"/>
              </w:rPr>
            </w:pPr>
            <w:r w:rsidRPr="00EA1CB4">
              <w:rPr>
                <w:rFonts w:ascii="Times New Roman" w:hAnsi="Times New Roman" w:cs="Times New Roman"/>
              </w:rPr>
              <w:t>Carroll Associates</w:t>
            </w:r>
          </w:p>
          <w:p w:rsidR="00EA1CB4" w:rsidRPr="00EA1CB4" w:rsidRDefault="00EA1CB4">
            <w:pPr>
              <w:rPr>
                <w:rFonts w:ascii="Times New Roman" w:hAnsi="Times New Roman" w:cs="Times New Roman"/>
              </w:rPr>
            </w:pPr>
            <w:r w:rsidRPr="00EA1CB4">
              <w:rPr>
                <w:rFonts w:ascii="Times New Roman" w:hAnsi="Times New Roman" w:cs="Times New Roman"/>
              </w:rPr>
              <w:t>217 Commercial Street, Suite 200</w:t>
            </w:r>
          </w:p>
          <w:p w:rsidR="00EA1CB4" w:rsidRPr="00EA1CB4" w:rsidRDefault="00EA1CB4">
            <w:pPr>
              <w:rPr>
                <w:rFonts w:ascii="Times New Roman" w:hAnsi="Times New Roman" w:cs="Times New Roman"/>
              </w:rPr>
            </w:pPr>
            <w:r w:rsidRPr="00EA1CB4">
              <w:rPr>
                <w:rFonts w:ascii="Times New Roman" w:hAnsi="Times New Roman" w:cs="Times New Roman"/>
              </w:rPr>
              <w:t>Portland, ME 04101</w:t>
            </w:r>
          </w:p>
        </w:tc>
      </w:tr>
    </w:tbl>
    <w:p w:rsidR="00EA1CB4" w:rsidRPr="00EA1CB4" w:rsidRDefault="00EA1CB4">
      <w:pPr>
        <w:rPr>
          <w:rFonts w:ascii="Times New Roman" w:hAnsi="Times New Roman" w:cs="Times New Roman"/>
        </w:rPr>
      </w:pPr>
    </w:p>
    <w:p w:rsidR="00611EE1" w:rsidRDefault="00EA1CB4">
      <w:pPr>
        <w:rPr>
          <w:rFonts w:ascii="Times New Roman" w:hAnsi="Times New Roman" w:cs="Times New Roman"/>
        </w:rPr>
      </w:pPr>
      <w:r w:rsidRPr="00EA1CB4">
        <w:rPr>
          <w:rFonts w:ascii="Times New Roman" w:hAnsi="Times New Roman" w:cs="Times New Roman"/>
        </w:rPr>
        <w:t xml:space="preserve">Project Name: </w:t>
      </w:r>
      <w:r w:rsidRPr="00EA1CB4">
        <w:rPr>
          <w:rFonts w:ascii="Times New Roman" w:hAnsi="Times New Roman" w:cs="Times New Roman"/>
        </w:rPr>
        <w:tab/>
        <w:t>1</w:t>
      </w:r>
      <w:r>
        <w:rPr>
          <w:rFonts w:ascii="Times New Roman" w:hAnsi="Times New Roman" w:cs="Times New Roman"/>
        </w:rPr>
        <w:t xml:space="preserve">30 Eastern </w:t>
      </w:r>
      <w:proofErr w:type="gramStart"/>
      <w:r>
        <w:rPr>
          <w:rFonts w:ascii="Times New Roman" w:hAnsi="Times New Roman" w:cs="Times New Roman"/>
        </w:rPr>
        <w:t>Promenade</w:t>
      </w:r>
      <w:proofErr w:type="gramEnd"/>
      <w:r>
        <w:rPr>
          <w:rFonts w:ascii="Times New Roman" w:hAnsi="Times New Roman" w:cs="Times New Roman"/>
        </w:rPr>
        <w:t xml:space="preserve"> – Site Plan Amendments 2014</w:t>
      </w:r>
    </w:p>
    <w:p w:rsidR="00EA1CB4" w:rsidRDefault="00EA1CB4">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t xml:space="preserve">130 Eastern </w:t>
      </w:r>
      <w:proofErr w:type="gramStart"/>
      <w:r>
        <w:rPr>
          <w:rFonts w:ascii="Times New Roman" w:hAnsi="Times New Roman" w:cs="Times New Roman"/>
        </w:rPr>
        <w:t>Promenade</w:t>
      </w:r>
      <w:proofErr w:type="gramEnd"/>
    </w:p>
    <w:p w:rsidR="00EA1CB4" w:rsidRDefault="00EA1CB4">
      <w:pPr>
        <w:rPr>
          <w:rFonts w:ascii="Times New Roman" w:hAnsi="Times New Roman" w:cs="Times New Roman"/>
        </w:rPr>
      </w:pPr>
      <w:r>
        <w:rPr>
          <w:rFonts w:ascii="Times New Roman" w:hAnsi="Times New Roman" w:cs="Times New Roman"/>
        </w:rPr>
        <w:t xml:space="preserve">Applicant </w:t>
      </w:r>
      <w:r>
        <w:rPr>
          <w:rFonts w:ascii="Times New Roman" w:hAnsi="Times New Roman" w:cs="Times New Roman"/>
        </w:rPr>
        <w:tab/>
        <w:t xml:space="preserve">Geoffrey </w:t>
      </w:r>
      <w:proofErr w:type="spellStart"/>
      <w:r>
        <w:rPr>
          <w:rFonts w:ascii="Times New Roman" w:hAnsi="Times New Roman" w:cs="Times New Roman"/>
        </w:rPr>
        <w:t>Minte</w:t>
      </w:r>
      <w:proofErr w:type="spellEnd"/>
      <w:r>
        <w:rPr>
          <w:rFonts w:ascii="Times New Roman" w:hAnsi="Times New Roman" w:cs="Times New Roman"/>
        </w:rPr>
        <w:t xml:space="preserve">, 130 Eastern </w:t>
      </w:r>
      <w:proofErr w:type="gramStart"/>
      <w:r>
        <w:rPr>
          <w:rFonts w:ascii="Times New Roman" w:hAnsi="Times New Roman" w:cs="Times New Roman"/>
        </w:rPr>
        <w:t>Promenade</w:t>
      </w:r>
      <w:proofErr w:type="gramEnd"/>
      <w:r>
        <w:rPr>
          <w:rFonts w:ascii="Times New Roman" w:hAnsi="Times New Roman" w:cs="Times New Roman"/>
        </w:rPr>
        <w:t>, LLC</w:t>
      </w:r>
    </w:p>
    <w:p w:rsidR="00AF415A" w:rsidRDefault="00AF415A">
      <w:pPr>
        <w:rPr>
          <w:rFonts w:ascii="Times New Roman" w:hAnsi="Times New Roman" w:cs="Times New Roman"/>
        </w:rPr>
      </w:pPr>
      <w:r>
        <w:rPr>
          <w:rFonts w:ascii="Times New Roman" w:hAnsi="Times New Roman" w:cs="Times New Roman"/>
        </w:rPr>
        <w:t>Project #:</w:t>
      </w:r>
      <w:r>
        <w:rPr>
          <w:rFonts w:ascii="Times New Roman" w:hAnsi="Times New Roman" w:cs="Times New Roman"/>
        </w:rPr>
        <w:tab/>
        <w:t>#2014-050</w:t>
      </w:r>
    </w:p>
    <w:p w:rsidR="00AF415A" w:rsidRDefault="00AF415A">
      <w:pPr>
        <w:rPr>
          <w:rFonts w:ascii="Times New Roman" w:hAnsi="Times New Roman" w:cs="Times New Roman"/>
        </w:rPr>
      </w:pPr>
      <w:r>
        <w:rPr>
          <w:rFonts w:ascii="Times New Roman" w:hAnsi="Times New Roman" w:cs="Times New Roman"/>
        </w:rPr>
        <w:t xml:space="preserve">Planner: </w:t>
      </w:r>
      <w:r>
        <w:rPr>
          <w:rFonts w:ascii="Times New Roman" w:hAnsi="Times New Roman" w:cs="Times New Roman"/>
        </w:rPr>
        <w:tab/>
        <w:t>Barbara Barhydt, Development Review Services Manager:</w:t>
      </w:r>
    </w:p>
    <w:p w:rsidR="00AF415A" w:rsidRDefault="00AF415A">
      <w:pPr>
        <w:rPr>
          <w:rFonts w:ascii="Times New Roman" w:hAnsi="Times New Roman" w:cs="Times New Roman"/>
        </w:rPr>
      </w:pPr>
    </w:p>
    <w:p w:rsidR="00AF415A" w:rsidRDefault="00AF415A">
      <w:pPr>
        <w:rPr>
          <w:rFonts w:ascii="Times New Roman" w:hAnsi="Times New Roman" w:cs="Times New Roman"/>
        </w:rPr>
      </w:pPr>
      <w:r>
        <w:rPr>
          <w:rFonts w:ascii="Times New Roman" w:hAnsi="Times New Roman" w:cs="Times New Roman"/>
        </w:rPr>
        <w:t xml:space="preserve">Dear Mr. </w:t>
      </w:r>
      <w:proofErr w:type="spellStart"/>
      <w:r>
        <w:rPr>
          <w:rFonts w:ascii="Times New Roman" w:hAnsi="Times New Roman" w:cs="Times New Roman"/>
        </w:rPr>
        <w:t>Minte</w:t>
      </w:r>
      <w:proofErr w:type="spellEnd"/>
      <w:r>
        <w:rPr>
          <w:rFonts w:ascii="Times New Roman" w:hAnsi="Times New Roman" w:cs="Times New Roman"/>
        </w:rPr>
        <w:t xml:space="preserve"> and Mr. Carroll:</w:t>
      </w:r>
    </w:p>
    <w:p w:rsidR="00AF415A" w:rsidRDefault="00AF415A">
      <w:pPr>
        <w:rPr>
          <w:rFonts w:ascii="Times New Roman" w:hAnsi="Times New Roman" w:cs="Times New Roman"/>
        </w:rPr>
      </w:pPr>
    </w:p>
    <w:p w:rsidR="00AF415A" w:rsidRDefault="00AF415A">
      <w:pPr>
        <w:rPr>
          <w:rFonts w:ascii="Times New Roman" w:hAnsi="Times New Roman" w:cs="Times New Roman"/>
        </w:rPr>
      </w:pPr>
      <w:r>
        <w:rPr>
          <w:rFonts w:ascii="Times New Roman" w:hAnsi="Times New Roman" w:cs="Times New Roman"/>
        </w:rPr>
        <w:t xml:space="preserve">On May 19, 2014, the Planning Authority approved with conditions the proposed addition of one unit, parking revisions and other site changes as part of the Level II application  This amended plan approval is based upon the plans as submitted by Carroll Associates, dated </w:t>
      </w:r>
      <w:r w:rsidR="00531615">
        <w:rPr>
          <w:rFonts w:ascii="Times New Roman" w:hAnsi="Times New Roman" w:cs="Times New Roman"/>
        </w:rPr>
        <w:t>4-11-2014</w:t>
      </w:r>
      <w:r>
        <w:rPr>
          <w:rFonts w:ascii="Times New Roman" w:hAnsi="Times New Roman" w:cs="Times New Roman"/>
        </w:rPr>
        <w:t xml:space="preserve">.  For reference, the original letter of approval, dated June 30, 2011 and the amended approval from December 19, 2013 are attached.   The expiration date for this approval is from the original date of approval of June 27, 2013 and extended to June 27, 2014. </w:t>
      </w:r>
    </w:p>
    <w:p w:rsidR="00AF415A" w:rsidRDefault="00AF415A">
      <w:pPr>
        <w:rPr>
          <w:rFonts w:ascii="Times New Roman" w:hAnsi="Times New Roman" w:cs="Times New Roman"/>
        </w:rPr>
      </w:pPr>
    </w:p>
    <w:p w:rsidR="00AF415A" w:rsidRDefault="00AF415A">
      <w:pPr>
        <w:rPr>
          <w:rFonts w:ascii="Times New Roman" w:hAnsi="Times New Roman" w:cs="Times New Roman"/>
          <w:b/>
        </w:rPr>
      </w:pPr>
      <w:r w:rsidRPr="00AF415A">
        <w:rPr>
          <w:rFonts w:ascii="Times New Roman" w:hAnsi="Times New Roman" w:cs="Times New Roman"/>
          <w:b/>
        </w:rPr>
        <w:t>Waivers</w:t>
      </w:r>
    </w:p>
    <w:p w:rsidR="00AF415A" w:rsidRDefault="00AF415A">
      <w:pPr>
        <w:rPr>
          <w:rFonts w:ascii="Times New Roman" w:hAnsi="Times New Roman" w:cs="Times New Roman"/>
        </w:rPr>
      </w:pPr>
      <w:r>
        <w:rPr>
          <w:rFonts w:ascii="Times New Roman" w:hAnsi="Times New Roman" w:cs="Times New Roman"/>
        </w:rPr>
        <w:t xml:space="preserve">The Planning Authority waiver of the Water Quality, </w:t>
      </w:r>
      <w:proofErr w:type="spellStart"/>
      <w:r>
        <w:rPr>
          <w:rFonts w:ascii="Times New Roman" w:hAnsi="Times New Roman" w:cs="Times New Roman"/>
        </w:rPr>
        <w:t>Stormwater</w:t>
      </w:r>
      <w:proofErr w:type="spellEnd"/>
      <w:r>
        <w:rPr>
          <w:rFonts w:ascii="Times New Roman" w:hAnsi="Times New Roman" w:cs="Times New Roman"/>
        </w:rPr>
        <w:t xml:space="preserve"> Management and Erosion Control Standard, Section 14-526 (b) (3) (a) remain in effect from the original approval.</w:t>
      </w:r>
      <w:r w:rsidR="00531615">
        <w:rPr>
          <w:rFonts w:ascii="Times New Roman" w:hAnsi="Times New Roman" w:cs="Times New Roman"/>
        </w:rPr>
        <w:t xml:space="preserve">  </w:t>
      </w:r>
      <w:r>
        <w:rPr>
          <w:rFonts w:ascii="Times New Roman" w:hAnsi="Times New Roman" w:cs="Times New Roman"/>
        </w:rPr>
        <w:t xml:space="preserve">The </w:t>
      </w:r>
      <w:r w:rsidR="000A6F37">
        <w:rPr>
          <w:rFonts w:ascii="Times New Roman" w:hAnsi="Times New Roman" w:cs="Times New Roman"/>
        </w:rPr>
        <w:t>Planning Authority waives the Technical Standard, Sectio</w:t>
      </w:r>
      <w:r w:rsidR="005E139B">
        <w:rPr>
          <w:rFonts w:ascii="Times New Roman" w:hAnsi="Times New Roman" w:cs="Times New Roman"/>
        </w:rPr>
        <w:t>n</w:t>
      </w:r>
      <w:r w:rsidR="000A6F37">
        <w:rPr>
          <w:rFonts w:ascii="Times New Roman" w:hAnsi="Times New Roman" w:cs="Times New Roman"/>
        </w:rPr>
        <w:t xml:space="preserve"> 1.14 for the following modifications:</w:t>
      </w:r>
    </w:p>
    <w:p w:rsidR="000A6F37" w:rsidRDefault="000A6F37" w:rsidP="000A6F37">
      <w:pPr>
        <w:pStyle w:val="ListParagraph"/>
        <w:numPr>
          <w:ilvl w:val="0"/>
          <w:numId w:val="1"/>
        </w:numPr>
        <w:rPr>
          <w:rFonts w:ascii="Times New Roman" w:hAnsi="Times New Roman" w:cs="Times New Roman"/>
        </w:rPr>
      </w:pPr>
      <w:r>
        <w:rPr>
          <w:rFonts w:ascii="Times New Roman" w:hAnsi="Times New Roman" w:cs="Times New Roman"/>
        </w:rPr>
        <w:t xml:space="preserve">To allow the two parallel parking spaces to be 8 ft. by 20 ft. along the driveway instead of standard parking size of 9 ft. by 18 ft. </w:t>
      </w:r>
    </w:p>
    <w:p w:rsidR="000A6F37" w:rsidRDefault="000A6F37" w:rsidP="000A6F37">
      <w:pPr>
        <w:pStyle w:val="ListParagraph"/>
        <w:numPr>
          <w:ilvl w:val="0"/>
          <w:numId w:val="1"/>
        </w:numPr>
        <w:rPr>
          <w:rFonts w:ascii="Times New Roman" w:hAnsi="Times New Roman" w:cs="Times New Roman"/>
        </w:rPr>
      </w:pPr>
      <w:r>
        <w:rPr>
          <w:rFonts w:ascii="Times New Roman" w:hAnsi="Times New Roman" w:cs="Times New Roman"/>
        </w:rPr>
        <w:t xml:space="preserve">To allow two compact parking spaces at the end of the driveway. </w:t>
      </w:r>
    </w:p>
    <w:p w:rsidR="00611EE1" w:rsidRDefault="000A6F37" w:rsidP="000A6F37">
      <w:pPr>
        <w:pStyle w:val="ListParagraph"/>
        <w:numPr>
          <w:ilvl w:val="0"/>
          <w:numId w:val="1"/>
        </w:numPr>
        <w:rPr>
          <w:rFonts w:ascii="Times New Roman" w:hAnsi="Times New Roman" w:cs="Times New Roman"/>
        </w:rPr>
      </w:pPr>
      <w:r>
        <w:rPr>
          <w:rFonts w:ascii="Times New Roman" w:hAnsi="Times New Roman" w:cs="Times New Roman"/>
        </w:rPr>
        <w:t xml:space="preserve">To allow a reduced aisle width of 12 feet for vehicles to back out onto the street rather than have a two-way drive of 24 feet. </w:t>
      </w:r>
    </w:p>
    <w:p w:rsidR="005E139B" w:rsidRDefault="005E139B" w:rsidP="005E139B">
      <w:pPr>
        <w:pStyle w:val="ListParagraph"/>
        <w:rPr>
          <w:rFonts w:ascii="Times New Roman" w:hAnsi="Times New Roman" w:cs="Times New Roman"/>
        </w:rPr>
      </w:pPr>
    </w:p>
    <w:p w:rsidR="000A6F37" w:rsidRDefault="000A6F37" w:rsidP="000A6F37">
      <w:pPr>
        <w:rPr>
          <w:rFonts w:ascii="Times New Roman" w:hAnsi="Times New Roman" w:cs="Times New Roman"/>
        </w:rPr>
      </w:pPr>
      <w:r w:rsidRPr="005E139B">
        <w:rPr>
          <w:rFonts w:ascii="Times New Roman" w:hAnsi="Times New Roman" w:cs="Times New Roman"/>
          <w:b/>
        </w:rPr>
        <w:t>Site Plan Review</w:t>
      </w:r>
    </w:p>
    <w:p w:rsidR="005E139B" w:rsidRDefault="005E139B" w:rsidP="000A6F37">
      <w:pPr>
        <w:rPr>
          <w:rFonts w:ascii="Times New Roman" w:hAnsi="Times New Roman" w:cs="Times New Roman"/>
        </w:rPr>
      </w:pPr>
      <w:r>
        <w:rPr>
          <w:rFonts w:ascii="Times New Roman" w:hAnsi="Times New Roman" w:cs="Times New Roman"/>
        </w:rPr>
        <w:lastRenderedPageBreak/>
        <w:t>The Planning Authority found that the plan is in conformance with the Site Plan Standards of the Land Use Code subject to the following Conditions of approval, which must be met prior to the issuance of a building permit:</w:t>
      </w:r>
    </w:p>
    <w:p w:rsidR="005E139B" w:rsidRDefault="005E139B" w:rsidP="005E139B">
      <w:pPr>
        <w:pStyle w:val="ListParagraph"/>
        <w:numPr>
          <w:ilvl w:val="0"/>
          <w:numId w:val="3"/>
        </w:numPr>
        <w:rPr>
          <w:rFonts w:ascii="Times New Roman" w:hAnsi="Times New Roman" w:cs="Times New Roman"/>
        </w:rPr>
      </w:pPr>
      <w:r>
        <w:rPr>
          <w:rFonts w:ascii="Times New Roman" w:hAnsi="Times New Roman" w:cs="Times New Roman"/>
        </w:rPr>
        <w:t xml:space="preserve">The applicant shall provide specifications relating to noise generated from condensing units and rooftop mechanicals for review and approval by the zoning administrator;  and </w:t>
      </w:r>
    </w:p>
    <w:p w:rsidR="00531615" w:rsidRPr="00531615" w:rsidRDefault="00531615" w:rsidP="00531615">
      <w:pPr>
        <w:pStyle w:val="ListParagraph"/>
        <w:numPr>
          <w:ilvl w:val="0"/>
          <w:numId w:val="3"/>
        </w:numPr>
        <w:spacing w:before="60" w:after="15"/>
        <w:ind w:right="60"/>
        <w:rPr>
          <w:rFonts w:ascii="Times New Roman" w:eastAsia="Times New Roman" w:hAnsi="Times New Roman" w:cs="Times New Roman"/>
        </w:rPr>
      </w:pPr>
      <w:r w:rsidRPr="00531615">
        <w:rPr>
          <w:rFonts w:ascii="Times New Roman" w:eastAsia="Times New Roman" w:hAnsi="Times New Roman" w:cs="Times New Roman"/>
        </w:rPr>
        <w:t>It is understood that drive apron, thoug</w:t>
      </w:r>
      <w:r>
        <w:rPr>
          <w:rFonts w:ascii="Times New Roman" w:eastAsia="Times New Roman" w:hAnsi="Times New Roman" w:cs="Times New Roman"/>
        </w:rPr>
        <w:t xml:space="preserve">h not defined, will be </w:t>
      </w:r>
      <w:proofErr w:type="spellStart"/>
      <w:r>
        <w:rPr>
          <w:rFonts w:ascii="Times New Roman" w:eastAsia="Times New Roman" w:hAnsi="Times New Roman" w:cs="Times New Roman"/>
        </w:rPr>
        <w:t>concrete</w:t>
      </w:r>
      <w:r w:rsidRPr="00531615">
        <w:rPr>
          <w:rFonts w:ascii="Times New Roman" w:eastAsia="Times New Roman" w:hAnsi="Times New Roman" w:cs="Times New Roman"/>
        </w:rPr>
        <w:t>Please</w:t>
      </w:r>
      <w:proofErr w:type="spellEnd"/>
      <w:r w:rsidRPr="00531615">
        <w:rPr>
          <w:rFonts w:ascii="Times New Roman" w:eastAsia="Times New Roman" w:hAnsi="Times New Roman" w:cs="Times New Roman"/>
        </w:rPr>
        <w:t xml:space="preserve"> provide note</w:t>
      </w:r>
      <w:r>
        <w:rPr>
          <w:rFonts w:ascii="Times New Roman" w:eastAsia="Times New Roman" w:hAnsi="Times New Roman" w:cs="Times New Roman"/>
        </w:rPr>
        <w:t xml:space="preserve"> on the final set of plans</w:t>
      </w:r>
      <w:r w:rsidRPr="00531615">
        <w:rPr>
          <w:rFonts w:ascii="Times New Roman" w:eastAsia="Times New Roman" w:hAnsi="Times New Roman" w:cs="Times New Roman"/>
        </w:rPr>
        <w:t xml:space="preserve"> to score a defined joint between the proposed concrete walk infill and the existing concrete walk.</w:t>
      </w:r>
    </w:p>
    <w:p w:rsidR="00531615" w:rsidRPr="00531615" w:rsidRDefault="00531615" w:rsidP="00531615">
      <w:pPr>
        <w:pStyle w:val="ListParagraph"/>
        <w:numPr>
          <w:ilvl w:val="0"/>
          <w:numId w:val="3"/>
        </w:numPr>
        <w:spacing w:before="60" w:after="15"/>
        <w:ind w:right="60"/>
        <w:rPr>
          <w:rFonts w:ascii="Times New Roman" w:eastAsia="Times New Roman" w:hAnsi="Times New Roman" w:cs="Times New Roman"/>
        </w:rPr>
      </w:pPr>
      <w:r w:rsidRPr="00531615">
        <w:rPr>
          <w:rFonts w:ascii="Times New Roman" w:eastAsia="Times New Roman" w:hAnsi="Times New Roman" w:cs="Times New Roman"/>
        </w:rPr>
        <w:t>Proposed weep hole through wall may cause icing problem and the city may ask for the weep holes to be plugged.  May want to consider an alternative.</w:t>
      </w:r>
    </w:p>
    <w:p w:rsidR="00531615" w:rsidRPr="00531615" w:rsidRDefault="00531615" w:rsidP="00531615">
      <w:pPr>
        <w:pStyle w:val="ListParagraph"/>
        <w:numPr>
          <w:ilvl w:val="0"/>
          <w:numId w:val="3"/>
        </w:numPr>
        <w:spacing w:before="60" w:after="15"/>
        <w:ind w:right="60"/>
        <w:rPr>
          <w:rFonts w:ascii="Times New Roman" w:eastAsia="Times New Roman" w:hAnsi="Times New Roman" w:cs="Times New Roman"/>
        </w:rPr>
      </w:pPr>
      <w:r w:rsidRPr="00531615">
        <w:rPr>
          <w:rFonts w:ascii="Times New Roman" w:eastAsia="Times New Roman" w:hAnsi="Times New Roman" w:cs="Times New Roman"/>
        </w:rPr>
        <w:t>Please provide stamped survey plan</w:t>
      </w:r>
      <w:r>
        <w:rPr>
          <w:rFonts w:ascii="Times New Roman" w:eastAsia="Times New Roman" w:hAnsi="Times New Roman" w:cs="Times New Roman"/>
        </w:rPr>
        <w:t xml:space="preserve"> as part of the final plan set</w:t>
      </w:r>
      <w:r w:rsidRPr="00531615">
        <w:rPr>
          <w:rFonts w:ascii="Times New Roman" w:eastAsia="Times New Roman" w:hAnsi="Times New Roman" w:cs="Times New Roman"/>
        </w:rPr>
        <w:t>.</w:t>
      </w:r>
    </w:p>
    <w:p w:rsidR="005E139B" w:rsidRPr="005E139B" w:rsidRDefault="005E139B" w:rsidP="005E139B">
      <w:pPr>
        <w:pStyle w:val="ListParagraph"/>
        <w:numPr>
          <w:ilvl w:val="0"/>
          <w:numId w:val="3"/>
        </w:numPr>
        <w:rPr>
          <w:rFonts w:ascii="Times New Roman" w:hAnsi="Times New Roman" w:cs="Times New Roman"/>
        </w:rPr>
      </w:pPr>
      <w:r>
        <w:rPr>
          <w:rFonts w:ascii="Times New Roman" w:hAnsi="Times New Roman" w:cs="Times New Roman"/>
        </w:rPr>
        <w:t>The applicant shall set all property pins for review and approval by the Department of Public Services.</w:t>
      </w:r>
    </w:p>
    <w:p w:rsidR="000A6F37" w:rsidRDefault="000A6F37" w:rsidP="005E139B">
      <w:pPr>
        <w:rPr>
          <w:rFonts w:ascii="Times New Roman" w:hAnsi="Times New Roman" w:cs="Times New Roman"/>
        </w:rPr>
      </w:pPr>
    </w:p>
    <w:p w:rsidR="005E139B" w:rsidRDefault="005E139B" w:rsidP="005E139B">
      <w:pPr>
        <w:rPr>
          <w:rFonts w:ascii="Times New Roman" w:hAnsi="Times New Roman" w:cs="Times New Roman"/>
        </w:rPr>
      </w:pPr>
      <w:r>
        <w:rPr>
          <w:rFonts w:ascii="Times New Roman" w:hAnsi="Times New Roman" w:cs="Times New Roman"/>
        </w:rPr>
        <w:t>The approval is based upon the</w:t>
      </w:r>
      <w:r w:rsidR="00531615">
        <w:rPr>
          <w:rFonts w:ascii="Times New Roman" w:hAnsi="Times New Roman" w:cs="Times New Roman"/>
        </w:rPr>
        <w:t xml:space="preserve"> amended</w:t>
      </w:r>
      <w:r>
        <w:rPr>
          <w:rFonts w:ascii="Times New Roman" w:hAnsi="Times New Roman" w:cs="Times New Roman"/>
        </w:rPr>
        <w:t xml:space="preserve"> plans </w:t>
      </w:r>
      <w:r w:rsidR="00531615">
        <w:rPr>
          <w:rFonts w:ascii="Times New Roman" w:hAnsi="Times New Roman" w:cs="Times New Roman"/>
        </w:rPr>
        <w:t>dated 4-11-14</w:t>
      </w:r>
      <w:r>
        <w:rPr>
          <w:rFonts w:ascii="Times New Roman" w:hAnsi="Times New Roman" w:cs="Times New Roman"/>
        </w:rPr>
        <w:t xml:space="preserve">.  If you need to make any modifications to the approved site plan, you must submit a revised site plan for staff review and approval.  </w:t>
      </w:r>
    </w:p>
    <w:p w:rsidR="005E139B" w:rsidRDefault="005E139B" w:rsidP="005E139B">
      <w:pPr>
        <w:rPr>
          <w:rFonts w:ascii="Times New Roman" w:hAnsi="Times New Roman" w:cs="Times New Roman"/>
        </w:rPr>
      </w:pPr>
    </w:p>
    <w:p w:rsidR="005E139B" w:rsidRPr="005E139B" w:rsidRDefault="005E139B" w:rsidP="005E139B">
      <w:pPr>
        <w:rPr>
          <w:rFonts w:ascii="Times New Roman" w:hAnsi="Times New Roman" w:cs="Times New Roman"/>
          <w:b/>
        </w:rPr>
      </w:pPr>
      <w:r w:rsidRPr="005E139B">
        <w:rPr>
          <w:rFonts w:ascii="Times New Roman" w:hAnsi="Times New Roman" w:cs="Times New Roman"/>
          <w:b/>
        </w:rPr>
        <w:t>Standard Conditions of Approval</w:t>
      </w:r>
    </w:p>
    <w:p w:rsidR="005E139B" w:rsidRDefault="005E139B" w:rsidP="005E139B">
      <w:pPr>
        <w:rPr>
          <w:rFonts w:ascii="Times New Roman" w:hAnsi="Times New Roman" w:cs="Times New Roman"/>
        </w:rPr>
      </w:pPr>
      <w:r>
        <w:rPr>
          <w:rFonts w:ascii="Times New Roman" w:hAnsi="Times New Roman" w:cs="Times New Roman"/>
        </w:rPr>
        <w:t>Please not the following standard conditions of approval and requirement for all approved site plans.</w:t>
      </w:r>
    </w:p>
    <w:p w:rsidR="00531615" w:rsidRDefault="00531615" w:rsidP="00531615">
      <w:pPr>
        <w:tabs>
          <w:tab w:val="left" w:pos="-1080"/>
          <w:tab w:val="left" w:pos="-864"/>
          <w:tab w:val="left" w:pos="-288"/>
          <w:tab w:val="left" w:pos="0"/>
          <w:tab w:val="left" w:pos="720"/>
          <w:tab w:val="left" w:pos="1440"/>
        </w:tabs>
        <w:ind w:right="-144"/>
        <w:rPr>
          <w:sz w:val="22"/>
          <w:szCs w:val="22"/>
        </w:rPr>
      </w:pPr>
    </w:p>
    <w:p w:rsidR="00531615" w:rsidRPr="003770F4" w:rsidRDefault="00531615" w:rsidP="00531615">
      <w:pPr>
        <w:numPr>
          <w:ilvl w:val="0"/>
          <w:numId w:val="5"/>
        </w:numPr>
        <w:autoSpaceDE w:val="0"/>
        <w:autoSpaceDN w:val="0"/>
        <w:adjustRightInd w:val="0"/>
        <w:rPr>
          <w:sz w:val="22"/>
          <w:szCs w:val="22"/>
        </w:rPr>
      </w:pPr>
      <w:r w:rsidRPr="005075DD">
        <w:rPr>
          <w:sz w:val="22"/>
          <w:szCs w:val="17"/>
        </w:rPr>
        <w:t>The site shall be developed and maintained as depicted in the site plan and the written submission of the applicant. Modification of any approved site plan or alteration of a parcel which was the subject of site plan approval after May 20, 1974, shall require the prior approval of a revised site plan by the Plann</w:t>
      </w:r>
      <w:r>
        <w:rPr>
          <w:sz w:val="22"/>
          <w:szCs w:val="17"/>
        </w:rPr>
        <w:t>ing Board or the Planning A</w:t>
      </w:r>
      <w:r w:rsidRPr="005075DD">
        <w:rPr>
          <w:sz w:val="22"/>
          <w:szCs w:val="17"/>
        </w:rPr>
        <w:t xml:space="preserve">uthority pursuant to the terms of </w:t>
      </w:r>
      <w:r>
        <w:rPr>
          <w:sz w:val="22"/>
          <w:szCs w:val="17"/>
        </w:rPr>
        <w:t>Chapter 14 of the Portland City Code</w:t>
      </w:r>
      <w:r w:rsidRPr="005075DD">
        <w:rPr>
          <w:sz w:val="22"/>
          <w:szCs w:val="17"/>
        </w:rPr>
        <w:t xml:space="preserve">. </w:t>
      </w:r>
    </w:p>
    <w:p w:rsidR="00531615" w:rsidRPr="005075DD" w:rsidRDefault="00531615" w:rsidP="00531615">
      <w:pPr>
        <w:ind w:left="360"/>
        <w:rPr>
          <w:sz w:val="22"/>
          <w:szCs w:val="22"/>
        </w:rPr>
      </w:pPr>
    </w:p>
    <w:p w:rsidR="00531615" w:rsidRPr="005075DD" w:rsidRDefault="00531615" w:rsidP="00531615">
      <w:pPr>
        <w:numPr>
          <w:ilvl w:val="0"/>
          <w:numId w:val="5"/>
        </w:numPr>
        <w:autoSpaceDE w:val="0"/>
        <w:autoSpaceDN w:val="0"/>
        <w:adjustRightInd w:val="0"/>
        <w:rPr>
          <w:sz w:val="22"/>
          <w:szCs w:val="22"/>
        </w:rPr>
      </w:pPr>
      <w:r>
        <w:rPr>
          <w:sz w:val="22"/>
          <w:szCs w:val="22"/>
        </w:rPr>
        <w:t>This approval</w:t>
      </w:r>
      <w:r w:rsidRPr="005075DD">
        <w:rPr>
          <w:sz w:val="22"/>
          <w:szCs w:val="22"/>
        </w:rPr>
        <w:t xml:space="preserve"> do</w:t>
      </w:r>
      <w:r>
        <w:rPr>
          <w:sz w:val="22"/>
          <w:szCs w:val="22"/>
        </w:rPr>
        <w:t>es</w:t>
      </w:r>
      <w:r w:rsidRPr="005075DD">
        <w:rPr>
          <w:sz w:val="22"/>
          <w:szCs w:val="22"/>
        </w:rPr>
        <w:t xml:space="preserve"> not constitute approval of building plans, which must be reviewed and approved by the City of </w:t>
      </w:r>
      <w:smartTag w:uri="urn:schemas-microsoft-com:office:smarttags" w:element="City">
        <w:smartTag w:uri="urn:schemas-microsoft-com:office:smarttags" w:element="place">
          <w:r w:rsidRPr="005075DD">
            <w:rPr>
              <w:sz w:val="22"/>
              <w:szCs w:val="22"/>
            </w:rPr>
            <w:t>Portland</w:t>
          </w:r>
        </w:smartTag>
      </w:smartTag>
      <w:r w:rsidRPr="005075DD">
        <w:rPr>
          <w:sz w:val="22"/>
          <w:szCs w:val="22"/>
        </w:rPr>
        <w:t xml:space="preserve">’s Inspection Division.  </w:t>
      </w:r>
    </w:p>
    <w:p w:rsidR="00531615" w:rsidRPr="005075DD" w:rsidRDefault="00531615" w:rsidP="00531615">
      <w:pPr>
        <w:pStyle w:val="BodyTextIndent"/>
        <w:ind w:left="360" w:hanging="720"/>
        <w:rPr>
          <w:szCs w:val="22"/>
        </w:rPr>
      </w:pPr>
    </w:p>
    <w:p w:rsidR="00531615" w:rsidRPr="005075DD" w:rsidRDefault="00531615" w:rsidP="00531615">
      <w:pPr>
        <w:numPr>
          <w:ilvl w:val="0"/>
          <w:numId w:val="5"/>
        </w:numPr>
        <w:autoSpaceDE w:val="0"/>
        <w:autoSpaceDN w:val="0"/>
        <w:adjustRightInd w:val="0"/>
        <w:rPr>
          <w:sz w:val="22"/>
          <w:szCs w:val="22"/>
        </w:rPr>
      </w:pPr>
      <w:r w:rsidRPr="005075DD">
        <w:rPr>
          <w:sz w:val="22"/>
          <w:szCs w:val="22"/>
        </w:rPr>
        <w:t>Final sets of plans shall be submitted digitally to the Planning Division, on a CD or DVD, in AutoCAD format (*</w:t>
      </w:r>
      <w:proofErr w:type="gramStart"/>
      <w:r w:rsidRPr="005075DD">
        <w:rPr>
          <w:sz w:val="22"/>
          <w:szCs w:val="22"/>
        </w:rPr>
        <w:t>,</w:t>
      </w:r>
      <w:proofErr w:type="spellStart"/>
      <w:r w:rsidRPr="005075DD">
        <w:rPr>
          <w:sz w:val="22"/>
          <w:szCs w:val="22"/>
        </w:rPr>
        <w:t>dwg</w:t>
      </w:r>
      <w:proofErr w:type="spellEnd"/>
      <w:proofErr w:type="gramEnd"/>
      <w:r w:rsidRPr="005075DD">
        <w:rPr>
          <w:sz w:val="22"/>
          <w:szCs w:val="22"/>
        </w:rPr>
        <w:t>), release AutoCAD 2005 or greater.</w:t>
      </w:r>
    </w:p>
    <w:p w:rsidR="00531615" w:rsidRPr="005075DD" w:rsidRDefault="00531615" w:rsidP="00531615">
      <w:pPr>
        <w:pStyle w:val="BodyTextIndent"/>
        <w:ind w:left="0" w:hanging="720"/>
        <w:rPr>
          <w:szCs w:val="22"/>
        </w:rPr>
      </w:pPr>
    </w:p>
    <w:p w:rsidR="00531615" w:rsidRPr="005075DD" w:rsidRDefault="00531615" w:rsidP="00531615">
      <w:pPr>
        <w:numPr>
          <w:ilvl w:val="0"/>
          <w:numId w:val="5"/>
        </w:numPr>
        <w:autoSpaceDE w:val="0"/>
        <w:autoSpaceDN w:val="0"/>
        <w:adjustRightInd w:val="0"/>
        <w:rPr>
          <w:sz w:val="22"/>
          <w:szCs w:val="22"/>
        </w:rPr>
      </w:pPr>
      <w:r w:rsidRPr="005075DD">
        <w:rPr>
          <w:sz w:val="22"/>
          <w:szCs w:val="22"/>
        </w:rPr>
        <w:t xml:space="preserve"> A performance guarantee covering the site improvements as well as an inspection fee payment of 2.0% of the guarantee amount and </w:t>
      </w:r>
      <w:r>
        <w:rPr>
          <w:sz w:val="22"/>
          <w:szCs w:val="22"/>
        </w:rPr>
        <w:t>five (5</w:t>
      </w:r>
      <w:r w:rsidRPr="00531615">
        <w:rPr>
          <w:sz w:val="22"/>
          <w:szCs w:val="22"/>
        </w:rPr>
        <w:t xml:space="preserve">) final paper sets of </w:t>
      </w:r>
      <w:proofErr w:type="gramStart"/>
      <w:r w:rsidRPr="00531615">
        <w:rPr>
          <w:sz w:val="22"/>
          <w:szCs w:val="22"/>
        </w:rPr>
        <w:t>plans</w:t>
      </w:r>
      <w:r w:rsidRPr="005075DD">
        <w:rPr>
          <w:sz w:val="22"/>
          <w:szCs w:val="22"/>
        </w:rPr>
        <w:t xml:space="preserve"> </w:t>
      </w:r>
      <w:r>
        <w:rPr>
          <w:sz w:val="22"/>
          <w:szCs w:val="22"/>
        </w:rPr>
        <w:t xml:space="preserve"> and</w:t>
      </w:r>
      <w:proofErr w:type="gramEnd"/>
      <w:r>
        <w:rPr>
          <w:sz w:val="22"/>
          <w:szCs w:val="22"/>
        </w:rPr>
        <w:t xml:space="preserve"> one digital copy of the plans </w:t>
      </w:r>
      <w:r w:rsidRPr="005075DD">
        <w:rPr>
          <w:sz w:val="22"/>
          <w:szCs w:val="22"/>
        </w:rPr>
        <w:t xml:space="preserve">must be submitted to and approved by the Planning Division and Public Services Dept. prior to the release of a building permit, street opening permit or certificate of occupancy for site plans.  If you need to make any modifications to the approved plans, you must submit a revised site plan application for staff review and approval.  </w:t>
      </w:r>
      <w:r>
        <w:rPr>
          <w:sz w:val="22"/>
          <w:szCs w:val="22"/>
        </w:rPr>
        <w:t xml:space="preserve">  </w:t>
      </w:r>
    </w:p>
    <w:p w:rsidR="00531615" w:rsidRPr="005075DD" w:rsidRDefault="00531615" w:rsidP="00531615">
      <w:pPr>
        <w:pStyle w:val="BodyTextIndent"/>
        <w:ind w:left="0" w:firstLine="0"/>
        <w:rPr>
          <w:szCs w:val="22"/>
        </w:rPr>
      </w:pPr>
    </w:p>
    <w:p w:rsidR="00531615" w:rsidRPr="006F3360" w:rsidRDefault="00531615" w:rsidP="00531615">
      <w:pPr>
        <w:numPr>
          <w:ilvl w:val="0"/>
          <w:numId w:val="5"/>
        </w:numPr>
        <w:autoSpaceDE w:val="0"/>
        <w:autoSpaceDN w:val="0"/>
        <w:adjustRightInd w:val="0"/>
        <w:rPr>
          <w:sz w:val="22"/>
          <w:szCs w:val="22"/>
          <w:u w:val="single"/>
        </w:rPr>
      </w:pPr>
      <w:r w:rsidRPr="006F3360">
        <w:rPr>
          <w:sz w:val="22"/>
          <w:szCs w:val="22"/>
          <w:u w:val="single"/>
        </w:rPr>
        <w:t xml:space="preserve">The site plan approval will be deemed to have expired unless work has commenced </w:t>
      </w:r>
      <w:r w:rsidR="006F3360" w:rsidRPr="006F3360">
        <w:rPr>
          <w:sz w:val="22"/>
          <w:szCs w:val="22"/>
          <w:u w:val="single"/>
        </w:rPr>
        <w:t>by June 27, 2014, which is three years from the date of original approval</w:t>
      </w:r>
      <w:r w:rsidRPr="006F3360">
        <w:rPr>
          <w:sz w:val="22"/>
          <w:szCs w:val="22"/>
          <w:u w:val="single"/>
        </w:rPr>
        <w:t xml:space="preserve"> </w:t>
      </w:r>
      <w:r w:rsidR="006F3360" w:rsidRPr="006F3360">
        <w:rPr>
          <w:sz w:val="22"/>
          <w:szCs w:val="22"/>
          <w:u w:val="single"/>
        </w:rPr>
        <w:t>and no additional extensions may be granted.</w:t>
      </w:r>
      <w:r w:rsidRPr="006F3360">
        <w:rPr>
          <w:sz w:val="22"/>
          <w:szCs w:val="22"/>
          <w:u w:val="single"/>
        </w:rPr>
        <w:t xml:space="preserve"> </w:t>
      </w:r>
    </w:p>
    <w:p w:rsidR="00531615" w:rsidRPr="005075DD" w:rsidRDefault="00531615" w:rsidP="00531615">
      <w:pPr>
        <w:pStyle w:val="BodyTextIndent"/>
        <w:ind w:left="0" w:hanging="720"/>
        <w:rPr>
          <w:szCs w:val="22"/>
        </w:rPr>
      </w:pPr>
    </w:p>
    <w:p w:rsidR="00531615" w:rsidRPr="005075DD" w:rsidRDefault="00531615" w:rsidP="00531615">
      <w:pPr>
        <w:numPr>
          <w:ilvl w:val="0"/>
          <w:numId w:val="5"/>
        </w:numPr>
        <w:autoSpaceDE w:val="0"/>
        <w:autoSpaceDN w:val="0"/>
        <w:adjustRightInd w:val="0"/>
        <w:rPr>
          <w:sz w:val="22"/>
          <w:szCs w:val="22"/>
        </w:rPr>
      </w:pPr>
      <w:r w:rsidRPr="005075DD">
        <w:rPr>
          <w:sz w:val="22"/>
          <w:szCs w:val="22"/>
        </w:rPr>
        <w:t>A defect guarantee, consisting of 10% of the performance guarantee, must be posted before the performance guarantee will be released.</w:t>
      </w:r>
    </w:p>
    <w:p w:rsidR="00531615" w:rsidRPr="005075DD" w:rsidRDefault="00531615" w:rsidP="00531615">
      <w:pPr>
        <w:pStyle w:val="BodyTextIndent"/>
        <w:widowControl w:val="0"/>
        <w:tabs>
          <w:tab w:val="left" w:pos="-1152"/>
          <w:tab w:val="left" w:pos="0"/>
          <w:tab w:val="left" w:pos="720"/>
          <w:tab w:val="left" w:pos="2160"/>
          <w:tab w:val="left" w:pos="2880"/>
          <w:tab w:val="left" w:pos="3600"/>
        </w:tabs>
        <w:ind w:left="0" w:hanging="720"/>
        <w:rPr>
          <w:szCs w:val="22"/>
        </w:rPr>
      </w:pPr>
    </w:p>
    <w:p w:rsidR="00531615" w:rsidRPr="00C3307F" w:rsidRDefault="00531615" w:rsidP="00531615">
      <w:pPr>
        <w:numPr>
          <w:ilvl w:val="0"/>
          <w:numId w:val="5"/>
        </w:numPr>
        <w:autoSpaceDE w:val="0"/>
        <w:autoSpaceDN w:val="0"/>
        <w:adjustRightInd w:val="0"/>
        <w:rPr>
          <w:sz w:val="22"/>
          <w:szCs w:val="22"/>
        </w:rPr>
      </w:pPr>
      <w:r w:rsidRPr="005075DD">
        <w:rPr>
          <w:sz w:val="22"/>
          <w:szCs w:val="22"/>
        </w:rPr>
        <w:t>Prior to construction, a pre-construction meeting shall be held at the project site with the contractor, development review coordinator, Public Service's representative and owner to review the construction schedule and critical aspects of the site work.  At that time, the site/building contractor shall provide three (3) copies of a detailed construction schedule to the attending City representatives.  It shall be the contractor's responsibility to arrange a mutually agreeable time for the pre-construction meeting.</w:t>
      </w:r>
      <w:r w:rsidRPr="00C3307F">
        <w:rPr>
          <w:sz w:val="22"/>
          <w:szCs w:val="22"/>
        </w:rPr>
        <w:t xml:space="preserve"> </w:t>
      </w:r>
    </w:p>
    <w:p w:rsidR="00531615" w:rsidRDefault="00531615" w:rsidP="00531615">
      <w:pPr>
        <w:rPr>
          <w:sz w:val="22"/>
          <w:szCs w:val="22"/>
        </w:rPr>
      </w:pPr>
    </w:p>
    <w:p w:rsidR="00531615" w:rsidRPr="005075DD" w:rsidRDefault="00531615" w:rsidP="00531615">
      <w:pPr>
        <w:numPr>
          <w:ilvl w:val="0"/>
          <w:numId w:val="5"/>
        </w:numPr>
        <w:autoSpaceDE w:val="0"/>
        <w:autoSpaceDN w:val="0"/>
        <w:adjustRightInd w:val="0"/>
        <w:rPr>
          <w:sz w:val="22"/>
          <w:szCs w:val="22"/>
        </w:rPr>
      </w:pPr>
      <w:r w:rsidRPr="005075DD">
        <w:rPr>
          <w:sz w:val="22"/>
          <w:szCs w:val="22"/>
        </w:rPr>
        <w:t xml:space="preserve">If work will occur within the public right-of-way such as utilities, curb, sidewalk and driveway construction, a street opening permit(s) is required for your site.  Please contact Carol Merritt at 874-8300, ext. 8828.  (Only excavators licensed by the City of </w:t>
      </w:r>
      <w:smartTag w:uri="urn:schemas-microsoft-com:office:smarttags" w:element="City">
        <w:smartTag w:uri="urn:schemas-microsoft-com:office:smarttags" w:element="place">
          <w:r w:rsidRPr="005075DD">
            <w:rPr>
              <w:sz w:val="22"/>
              <w:szCs w:val="22"/>
            </w:rPr>
            <w:t>Portland</w:t>
          </w:r>
        </w:smartTag>
      </w:smartTag>
      <w:r w:rsidRPr="005075DD">
        <w:rPr>
          <w:sz w:val="22"/>
          <w:szCs w:val="22"/>
        </w:rPr>
        <w:t xml:space="preserve"> are eligible.)</w:t>
      </w:r>
    </w:p>
    <w:p w:rsidR="00531615" w:rsidRDefault="00531615" w:rsidP="00531615">
      <w:pPr>
        <w:tabs>
          <w:tab w:val="left" w:pos="-1080"/>
          <w:tab w:val="left" w:pos="-864"/>
          <w:tab w:val="left" w:pos="-288"/>
          <w:tab w:val="left" w:pos="0"/>
          <w:tab w:val="left" w:pos="720"/>
          <w:tab w:val="left" w:pos="1440"/>
        </w:tabs>
        <w:ind w:right="-144" w:hanging="720"/>
        <w:rPr>
          <w:sz w:val="22"/>
          <w:szCs w:val="22"/>
        </w:rPr>
      </w:pPr>
    </w:p>
    <w:p w:rsidR="00531615" w:rsidRDefault="00531615" w:rsidP="00531615">
      <w:pPr>
        <w:tabs>
          <w:tab w:val="left" w:pos="-1152"/>
          <w:tab w:val="left" w:pos="0"/>
          <w:tab w:val="left" w:pos="720"/>
          <w:tab w:val="left" w:pos="1440"/>
          <w:tab w:val="left" w:pos="2160"/>
          <w:tab w:val="left" w:pos="2880"/>
          <w:tab w:val="left" w:pos="3600"/>
        </w:tabs>
        <w:rPr>
          <w:sz w:val="22"/>
          <w:szCs w:val="22"/>
        </w:rPr>
      </w:pPr>
      <w:r>
        <w:rPr>
          <w:sz w:val="22"/>
          <w:szCs w:val="22"/>
        </w:rPr>
        <w:t xml:space="preserve">The Development Review Coordinator must be notified five (5) working days prior to date required for final site inspection.  The Development Review Coordinator can be reached at the Planning Division at 874-8632.  All site plan requirements must be completed and approved by the Development Review Coordinator prior to issuance of a Certificate of Occupancy.  </w:t>
      </w:r>
      <w:r>
        <w:rPr>
          <w:sz w:val="22"/>
          <w:szCs w:val="22"/>
          <w:u w:val="single"/>
        </w:rPr>
        <w:t>Please</w:t>
      </w:r>
      <w:r>
        <w:rPr>
          <w:sz w:val="22"/>
          <w:szCs w:val="22"/>
        </w:rPr>
        <w:t xml:space="preserve"> schedule any property closing with these requirements in mind.</w:t>
      </w:r>
    </w:p>
    <w:p w:rsidR="00531615" w:rsidRDefault="00531615" w:rsidP="00531615">
      <w:pPr>
        <w:tabs>
          <w:tab w:val="left" w:pos="-1152"/>
          <w:tab w:val="left" w:pos="0"/>
          <w:tab w:val="left" w:pos="720"/>
          <w:tab w:val="left" w:pos="1440"/>
          <w:tab w:val="left" w:pos="2160"/>
          <w:tab w:val="left" w:pos="2880"/>
          <w:tab w:val="left" w:pos="3600"/>
        </w:tabs>
        <w:rPr>
          <w:sz w:val="22"/>
          <w:szCs w:val="22"/>
        </w:rPr>
      </w:pPr>
    </w:p>
    <w:p w:rsidR="00531615" w:rsidRDefault="00531615" w:rsidP="00531615">
      <w:pPr>
        <w:tabs>
          <w:tab w:val="left" w:pos="-1152"/>
          <w:tab w:val="left" w:pos="0"/>
          <w:tab w:val="left" w:pos="720"/>
          <w:tab w:val="left" w:pos="1440"/>
          <w:tab w:val="left" w:pos="2160"/>
          <w:tab w:val="left" w:pos="2880"/>
          <w:tab w:val="left" w:pos="3600"/>
        </w:tabs>
        <w:rPr>
          <w:sz w:val="22"/>
          <w:szCs w:val="22"/>
        </w:rPr>
      </w:pPr>
      <w:r>
        <w:rPr>
          <w:sz w:val="22"/>
          <w:szCs w:val="22"/>
        </w:rPr>
        <w:t xml:space="preserve">If there are any questions, please contact </w:t>
      </w:r>
      <w:r w:rsidR="007E5676">
        <w:rPr>
          <w:sz w:val="22"/>
          <w:szCs w:val="22"/>
        </w:rPr>
        <w:t>Barbara Barhydt</w:t>
      </w:r>
      <w:r>
        <w:rPr>
          <w:sz w:val="22"/>
          <w:szCs w:val="22"/>
        </w:rPr>
        <w:t xml:space="preserve"> at </w:t>
      </w:r>
      <w:r w:rsidR="007E5676">
        <w:rPr>
          <w:sz w:val="22"/>
          <w:szCs w:val="22"/>
        </w:rPr>
        <w:t>874-8699</w:t>
      </w:r>
      <w:r>
        <w:rPr>
          <w:sz w:val="22"/>
          <w:szCs w:val="22"/>
        </w:rPr>
        <w:t xml:space="preserve"> or </w:t>
      </w:r>
      <w:proofErr w:type="gramStart"/>
      <w:r>
        <w:rPr>
          <w:sz w:val="22"/>
          <w:szCs w:val="22"/>
        </w:rPr>
        <w:t xml:space="preserve">via </w:t>
      </w:r>
      <w:r w:rsidR="007E5676">
        <w:rPr>
          <w:sz w:val="22"/>
          <w:szCs w:val="22"/>
        </w:rPr>
        <w:t xml:space="preserve"> </w:t>
      </w:r>
      <w:proofErr w:type="gramEnd"/>
      <w:hyperlink r:id="rId15" w:history="1">
        <w:r w:rsidR="007E5676" w:rsidRPr="00DC1FA4">
          <w:rPr>
            <w:rStyle w:val="Hyperlink"/>
            <w:sz w:val="22"/>
            <w:szCs w:val="22"/>
          </w:rPr>
          <w:t>bab@portlandmaine.gov</w:t>
        </w:r>
      </w:hyperlink>
      <w:r w:rsidR="007E5676">
        <w:rPr>
          <w:sz w:val="22"/>
          <w:szCs w:val="22"/>
        </w:rPr>
        <w:t xml:space="preserve"> . </w:t>
      </w:r>
      <w:bookmarkStart w:id="0" w:name="_GoBack"/>
      <w:bookmarkEnd w:id="0"/>
    </w:p>
    <w:p w:rsidR="00531615" w:rsidRDefault="00531615" w:rsidP="00531615">
      <w:pPr>
        <w:tabs>
          <w:tab w:val="left" w:pos="-1152"/>
          <w:tab w:val="left" w:pos="0"/>
          <w:tab w:val="left" w:pos="720"/>
          <w:tab w:val="left" w:pos="1440"/>
          <w:tab w:val="left" w:pos="2160"/>
          <w:tab w:val="left" w:pos="2880"/>
          <w:tab w:val="left" w:pos="3600"/>
        </w:tabs>
        <w:rPr>
          <w:sz w:val="22"/>
          <w:szCs w:val="22"/>
        </w:rPr>
      </w:pPr>
    </w:p>
    <w:p w:rsidR="00531615" w:rsidRDefault="00531615" w:rsidP="00531615">
      <w:pPr>
        <w:tabs>
          <w:tab w:val="left" w:pos="-1152"/>
          <w:tab w:val="left" w:pos="0"/>
          <w:tab w:val="left" w:pos="720"/>
          <w:tab w:val="left" w:pos="1440"/>
          <w:tab w:val="left" w:pos="2160"/>
          <w:tab w:val="left" w:pos="2880"/>
          <w:tab w:val="left" w:pos="3600"/>
        </w:tabs>
        <w:rPr>
          <w:sz w:val="22"/>
          <w:szCs w:val="22"/>
        </w:rPr>
      </w:pPr>
      <w:r>
        <w:rPr>
          <w:sz w:val="22"/>
          <w:szCs w:val="22"/>
        </w:rPr>
        <w:t>Sincerely,</w:t>
      </w:r>
    </w:p>
    <w:p w:rsidR="00531615" w:rsidRDefault="00531615" w:rsidP="00531615">
      <w:pPr>
        <w:tabs>
          <w:tab w:val="left" w:pos="-1152"/>
          <w:tab w:val="left" w:pos="0"/>
          <w:tab w:val="left" w:pos="720"/>
          <w:tab w:val="left" w:pos="1440"/>
          <w:tab w:val="left" w:pos="2160"/>
          <w:tab w:val="left" w:pos="2880"/>
        </w:tabs>
        <w:jc w:val="both"/>
        <w:rPr>
          <w:sz w:val="22"/>
          <w:szCs w:val="22"/>
        </w:rPr>
      </w:pPr>
    </w:p>
    <w:p w:rsidR="00531615" w:rsidRDefault="00531615" w:rsidP="00531615">
      <w:pPr>
        <w:tabs>
          <w:tab w:val="left" w:pos="-1152"/>
          <w:tab w:val="left" w:pos="0"/>
          <w:tab w:val="left" w:pos="720"/>
          <w:tab w:val="left" w:pos="1440"/>
          <w:tab w:val="left" w:pos="2160"/>
          <w:tab w:val="left" w:pos="2880"/>
        </w:tabs>
        <w:jc w:val="both"/>
        <w:rPr>
          <w:sz w:val="22"/>
          <w:szCs w:val="22"/>
        </w:rPr>
      </w:pPr>
    </w:p>
    <w:p w:rsidR="00531615" w:rsidRDefault="00531615" w:rsidP="00531615">
      <w:pPr>
        <w:tabs>
          <w:tab w:val="left" w:pos="-1152"/>
          <w:tab w:val="left" w:pos="0"/>
          <w:tab w:val="left" w:pos="720"/>
          <w:tab w:val="left" w:pos="1440"/>
          <w:tab w:val="left" w:pos="2160"/>
          <w:tab w:val="left" w:pos="2880"/>
        </w:tabs>
        <w:jc w:val="both"/>
        <w:rPr>
          <w:sz w:val="22"/>
          <w:szCs w:val="22"/>
        </w:rPr>
      </w:pPr>
    </w:p>
    <w:p w:rsidR="00531615" w:rsidRDefault="00531615" w:rsidP="00531615">
      <w:pPr>
        <w:tabs>
          <w:tab w:val="left" w:pos="-1152"/>
          <w:tab w:val="left" w:pos="0"/>
          <w:tab w:val="left" w:pos="720"/>
          <w:tab w:val="left" w:pos="1440"/>
          <w:tab w:val="left" w:pos="2160"/>
          <w:tab w:val="left" w:pos="2880"/>
        </w:tabs>
        <w:jc w:val="both"/>
        <w:rPr>
          <w:sz w:val="22"/>
          <w:szCs w:val="22"/>
        </w:rPr>
      </w:pPr>
      <w:r>
        <w:rPr>
          <w:sz w:val="22"/>
          <w:szCs w:val="22"/>
        </w:rPr>
        <w:t xml:space="preserve">Alexander </w:t>
      </w:r>
      <w:proofErr w:type="spellStart"/>
      <w:r>
        <w:rPr>
          <w:sz w:val="22"/>
          <w:szCs w:val="22"/>
        </w:rPr>
        <w:t>Jaegerman</w:t>
      </w:r>
      <w:proofErr w:type="spellEnd"/>
    </w:p>
    <w:p w:rsidR="00531615" w:rsidRDefault="00531615" w:rsidP="00531615">
      <w:pPr>
        <w:tabs>
          <w:tab w:val="left" w:pos="-1152"/>
          <w:tab w:val="left" w:pos="0"/>
          <w:tab w:val="left" w:pos="720"/>
          <w:tab w:val="left" w:pos="1440"/>
          <w:tab w:val="left" w:pos="2160"/>
          <w:tab w:val="left" w:pos="2880"/>
          <w:tab w:val="left" w:pos="3600"/>
        </w:tabs>
        <w:rPr>
          <w:sz w:val="22"/>
          <w:szCs w:val="22"/>
        </w:rPr>
      </w:pPr>
      <w:r>
        <w:rPr>
          <w:sz w:val="22"/>
          <w:szCs w:val="22"/>
        </w:rPr>
        <w:t>Planning Division Director</w:t>
      </w:r>
    </w:p>
    <w:p w:rsidR="00531615" w:rsidRDefault="00531615" w:rsidP="00531615">
      <w:pPr>
        <w:rPr>
          <w:sz w:val="22"/>
        </w:rPr>
      </w:pPr>
    </w:p>
    <w:p w:rsidR="00531615" w:rsidRDefault="00531615" w:rsidP="00531615">
      <w:pPr>
        <w:rPr>
          <w:sz w:val="22"/>
        </w:rPr>
      </w:pPr>
      <w:r>
        <w:rPr>
          <w:sz w:val="22"/>
        </w:rPr>
        <w:t>Attachments:</w:t>
      </w:r>
    </w:p>
    <w:p w:rsidR="00531615" w:rsidRDefault="00531615" w:rsidP="00531615">
      <w:pPr>
        <w:rPr>
          <w:sz w:val="22"/>
        </w:rPr>
      </w:pPr>
    </w:p>
    <w:p w:rsidR="00531615" w:rsidRPr="006F3360" w:rsidRDefault="00531615" w:rsidP="006F3360">
      <w:pPr>
        <w:pStyle w:val="ListParagraph"/>
        <w:numPr>
          <w:ilvl w:val="0"/>
          <w:numId w:val="4"/>
        </w:numPr>
        <w:rPr>
          <w:sz w:val="22"/>
        </w:rPr>
      </w:pPr>
      <w:r w:rsidRPr="006F3360">
        <w:rPr>
          <w:sz w:val="22"/>
        </w:rPr>
        <w:t>David</w:t>
      </w:r>
      <w:r w:rsidR="006F3360" w:rsidRPr="006F3360">
        <w:rPr>
          <w:sz w:val="22"/>
        </w:rPr>
        <w:t xml:space="preserve"> Margolis-</w:t>
      </w:r>
      <w:proofErr w:type="spellStart"/>
      <w:r w:rsidR="006F3360" w:rsidRPr="006F3360">
        <w:rPr>
          <w:sz w:val="22"/>
        </w:rPr>
        <w:t>Pineo</w:t>
      </w:r>
      <w:proofErr w:type="spellEnd"/>
      <w:r w:rsidR="006F3360" w:rsidRPr="006F3360">
        <w:rPr>
          <w:sz w:val="22"/>
        </w:rPr>
        <w:t xml:space="preserve"> </w:t>
      </w:r>
      <w:r w:rsidRPr="006F3360">
        <w:rPr>
          <w:sz w:val="22"/>
        </w:rPr>
        <w:t xml:space="preserve"> memorandum dated </w:t>
      </w:r>
      <w:r w:rsidR="006F3360" w:rsidRPr="006F3360">
        <w:rPr>
          <w:sz w:val="22"/>
        </w:rPr>
        <w:t>May 2, 2014</w:t>
      </w:r>
    </w:p>
    <w:p w:rsidR="006F3360" w:rsidRDefault="006F3360" w:rsidP="006F3360">
      <w:pPr>
        <w:pStyle w:val="ListParagraph"/>
        <w:numPr>
          <w:ilvl w:val="0"/>
          <w:numId w:val="4"/>
        </w:numPr>
        <w:rPr>
          <w:sz w:val="22"/>
        </w:rPr>
      </w:pPr>
      <w:r>
        <w:rPr>
          <w:sz w:val="22"/>
        </w:rPr>
        <w:t xml:space="preserve">Tom </w:t>
      </w:r>
      <w:proofErr w:type="spellStart"/>
      <w:r>
        <w:rPr>
          <w:sz w:val="22"/>
        </w:rPr>
        <w:t>Errico</w:t>
      </w:r>
      <w:proofErr w:type="spellEnd"/>
      <w:r>
        <w:rPr>
          <w:sz w:val="22"/>
        </w:rPr>
        <w:t xml:space="preserve">  memorandum dated May 6, 2014</w:t>
      </w:r>
    </w:p>
    <w:p w:rsidR="006F3360" w:rsidRDefault="006F3360" w:rsidP="006F3360">
      <w:pPr>
        <w:pStyle w:val="ListParagraph"/>
        <w:numPr>
          <w:ilvl w:val="0"/>
          <w:numId w:val="4"/>
        </w:numPr>
        <w:rPr>
          <w:sz w:val="22"/>
        </w:rPr>
      </w:pPr>
      <w:r>
        <w:rPr>
          <w:sz w:val="22"/>
        </w:rPr>
        <w:t>Approval Letters 2011 and 2013</w:t>
      </w:r>
    </w:p>
    <w:p w:rsidR="006F3360" w:rsidRDefault="006F3360" w:rsidP="006F3360">
      <w:pPr>
        <w:pStyle w:val="ListParagraph"/>
        <w:numPr>
          <w:ilvl w:val="0"/>
          <w:numId w:val="4"/>
        </w:numPr>
        <w:rPr>
          <w:sz w:val="22"/>
        </w:rPr>
      </w:pPr>
      <w:r>
        <w:rPr>
          <w:sz w:val="22"/>
        </w:rPr>
        <w:t>Extension Letter 2012</w:t>
      </w:r>
    </w:p>
    <w:p w:rsidR="00531615" w:rsidRPr="006F3360" w:rsidRDefault="00531615" w:rsidP="006F3360">
      <w:pPr>
        <w:pStyle w:val="ListParagraph"/>
        <w:numPr>
          <w:ilvl w:val="0"/>
          <w:numId w:val="4"/>
        </w:numPr>
        <w:rPr>
          <w:sz w:val="22"/>
        </w:rPr>
      </w:pPr>
      <w:r w:rsidRPr="006F3360">
        <w:rPr>
          <w:sz w:val="22"/>
        </w:rPr>
        <w:t xml:space="preserve">Performance Guarantee Packet </w:t>
      </w: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Pr="00EA1CB4" w:rsidRDefault="00611EE1">
      <w:pPr>
        <w:rPr>
          <w:rFonts w:ascii="Times New Roman" w:hAnsi="Times New Roman" w:cs="Times New Roman"/>
        </w:rPr>
      </w:pPr>
    </w:p>
    <w:p w:rsidR="00611EE1" w:rsidRDefault="00611EE1"/>
    <w:p w:rsidR="00611EE1" w:rsidRDefault="00611EE1">
      <w:pPr>
        <w:sectPr w:rsidR="00611EE1" w:rsidSect="002E6EBA">
          <w:headerReference w:type="default" r:id="rId16"/>
          <w:type w:val="continuous"/>
          <w:pgSz w:w="12240" w:h="15840"/>
          <w:pgMar w:top="1440" w:right="1800" w:bottom="1440" w:left="1800" w:header="936" w:footer="1152" w:gutter="0"/>
          <w:cols w:space="720"/>
          <w:docGrid w:linePitch="360"/>
        </w:sectPr>
      </w:pPr>
    </w:p>
    <w:p w:rsidR="0080114A" w:rsidRPr="00E740BF" w:rsidRDefault="0080114A" w:rsidP="006E76AC"/>
    <w:sectPr w:rsidR="0080114A" w:rsidRPr="00E740BF" w:rsidSect="0080114A">
      <w:headerReference w:type="default" r:id="rId17"/>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2E" w:rsidRDefault="00570A2E" w:rsidP="00957D46">
      <w:r>
        <w:separator/>
      </w:r>
    </w:p>
  </w:endnote>
  <w:endnote w:type="continuationSeparator" w:id="0">
    <w:p w:rsidR="00570A2E" w:rsidRDefault="00570A2E"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7E5676">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0F6351" w:rsidP="005558A1">
    <w:pPr>
      <w:pStyle w:val="Footer"/>
      <w:ind w:left="360"/>
    </w:pPr>
    <w:r>
      <w:rPr>
        <w:noProof/>
      </w:rPr>
      <w:drawing>
        <wp:inline distT="0" distB="0" distL="0" distR="0" wp14:anchorId="17EA1610" wp14:editId="0A5D186A">
          <wp:extent cx="4918748" cy="192656"/>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4918748" cy="19265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2E" w:rsidRDefault="00570A2E" w:rsidP="00957D46">
      <w:r>
        <w:separator/>
      </w:r>
    </w:p>
  </w:footnote>
  <w:footnote w:type="continuationSeparator" w:id="0">
    <w:p w:rsidR="00570A2E" w:rsidRDefault="00570A2E"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7E5676">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Header"/>
      <w:tabs>
        <w:tab w:val="left" w:pos="-900"/>
      </w:tabs>
      <w:ind w:left="-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F84B3C">
    <w:pPr>
      <w:pStyle w:val="Header"/>
    </w:pPr>
    <w:r>
      <w:rPr>
        <w:noProof/>
      </w:rPr>
      <w:drawing>
        <wp:inline distT="0" distB="0" distL="0" distR="0" wp14:anchorId="307E619E" wp14:editId="7B73AC55">
          <wp:extent cx="5486400" cy="944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5486400" cy="94488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E1" w:rsidRDefault="00611EE1" w:rsidP="00E740BF">
    <w:pPr>
      <w:pStyle w:val="Header"/>
      <w:tabs>
        <w:tab w:val="clear" w:pos="8640"/>
        <w:tab w:val="left" w:pos="-900"/>
        <w:tab w:val="left" w:pos="0"/>
        <w:tab w:val="right" w:pos="8550"/>
      </w:tabs>
      <w:ind w:right="90"/>
    </w:pPr>
  </w:p>
  <w:p w:rsidR="00611EE1" w:rsidRDefault="00611EE1" w:rsidP="00957D46">
    <w:pPr>
      <w:pStyle w:val="Header"/>
      <w:tabs>
        <w:tab w:val="left" w:pos="-900"/>
      </w:tabs>
      <w:ind w:left="-4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4A" w:rsidRDefault="0080114A" w:rsidP="00E740BF">
    <w:pPr>
      <w:pStyle w:val="Header"/>
      <w:tabs>
        <w:tab w:val="clear" w:pos="8640"/>
        <w:tab w:val="left" w:pos="-900"/>
        <w:tab w:val="left" w:pos="0"/>
        <w:tab w:val="right" w:pos="8550"/>
      </w:tabs>
      <w:ind w:right="90"/>
    </w:pPr>
  </w:p>
  <w:p w:rsidR="0080114A" w:rsidRDefault="0080114A" w:rsidP="00957D46">
    <w:pPr>
      <w:pStyle w:val="Header"/>
      <w:tabs>
        <w:tab w:val="left" w:pos="-900"/>
      </w:tabs>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7C56"/>
    <w:multiLevelType w:val="hybridMultilevel"/>
    <w:tmpl w:val="1896857A"/>
    <w:lvl w:ilvl="0" w:tplc="CAEEA9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5115E7"/>
    <w:multiLevelType w:val="hybridMultilevel"/>
    <w:tmpl w:val="7582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77D72"/>
    <w:multiLevelType w:val="hybridMultilevel"/>
    <w:tmpl w:val="C6380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83DD1"/>
    <w:multiLevelType w:val="hybridMultilevel"/>
    <w:tmpl w:val="5FD25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C798B"/>
    <w:multiLevelType w:val="hybridMultilevel"/>
    <w:tmpl w:val="360CF668"/>
    <w:lvl w:ilvl="0" w:tplc="FBB26D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62"/>
    <w:rsid w:val="00006474"/>
    <w:rsid w:val="000438B4"/>
    <w:rsid w:val="00044995"/>
    <w:rsid w:val="00060913"/>
    <w:rsid w:val="00081751"/>
    <w:rsid w:val="000A6F37"/>
    <w:rsid w:val="000F6351"/>
    <w:rsid w:val="001C09FF"/>
    <w:rsid w:val="00282889"/>
    <w:rsid w:val="002B3662"/>
    <w:rsid w:val="002E6EBA"/>
    <w:rsid w:val="00352777"/>
    <w:rsid w:val="00462F4C"/>
    <w:rsid w:val="00497EB7"/>
    <w:rsid w:val="004F3BD1"/>
    <w:rsid w:val="00531615"/>
    <w:rsid w:val="005558A1"/>
    <w:rsid w:val="00570A2E"/>
    <w:rsid w:val="005730FF"/>
    <w:rsid w:val="00586FC2"/>
    <w:rsid w:val="005E139B"/>
    <w:rsid w:val="00611EE1"/>
    <w:rsid w:val="006136CB"/>
    <w:rsid w:val="00692BB8"/>
    <w:rsid w:val="006D7C41"/>
    <w:rsid w:val="006E76AC"/>
    <w:rsid w:val="006F3360"/>
    <w:rsid w:val="007125D6"/>
    <w:rsid w:val="00730D7B"/>
    <w:rsid w:val="00756C72"/>
    <w:rsid w:val="007E5676"/>
    <w:rsid w:val="007F795E"/>
    <w:rsid w:val="0080114A"/>
    <w:rsid w:val="008F7E95"/>
    <w:rsid w:val="00957D46"/>
    <w:rsid w:val="00966C3A"/>
    <w:rsid w:val="00A34FE1"/>
    <w:rsid w:val="00A540F0"/>
    <w:rsid w:val="00A8014A"/>
    <w:rsid w:val="00AF415A"/>
    <w:rsid w:val="00B35999"/>
    <w:rsid w:val="00B628CE"/>
    <w:rsid w:val="00BB5559"/>
    <w:rsid w:val="00BE2C13"/>
    <w:rsid w:val="00C30CED"/>
    <w:rsid w:val="00E50605"/>
    <w:rsid w:val="00E55A41"/>
    <w:rsid w:val="00E740BF"/>
    <w:rsid w:val="00E87E55"/>
    <w:rsid w:val="00EA1CB4"/>
    <w:rsid w:val="00F32704"/>
    <w:rsid w:val="00F5310D"/>
    <w:rsid w:val="00F74C38"/>
    <w:rsid w:val="00F84B3C"/>
    <w:rsid w:val="00F92CB8"/>
    <w:rsid w:val="00FA2972"/>
    <w:rsid w:val="00FF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table" w:styleId="TableGrid">
    <w:name w:val="Table Grid"/>
    <w:basedOn w:val="TableNormal"/>
    <w:uiPriority w:val="59"/>
    <w:rsid w:val="00EA1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6F37"/>
    <w:pPr>
      <w:ind w:left="720"/>
      <w:contextualSpacing/>
    </w:pPr>
  </w:style>
  <w:style w:type="paragraph" w:styleId="BodyTextIndent">
    <w:name w:val="Body Text Indent"/>
    <w:basedOn w:val="Normal"/>
    <w:link w:val="BodyTextIndentChar"/>
    <w:rsid w:val="00531615"/>
    <w:pPr>
      <w:autoSpaceDE w:val="0"/>
      <w:autoSpaceDN w:val="0"/>
      <w:adjustRightInd w:val="0"/>
      <w:ind w:left="720" w:hanging="360"/>
    </w:pPr>
    <w:rPr>
      <w:rFonts w:ascii="Times New Roman" w:eastAsia="Times New Roman" w:hAnsi="Times New Roman" w:cs="Times New Roman"/>
      <w:sz w:val="22"/>
      <w:szCs w:val="16"/>
    </w:rPr>
  </w:style>
  <w:style w:type="character" w:customStyle="1" w:styleId="BodyTextIndentChar">
    <w:name w:val="Body Text Indent Char"/>
    <w:basedOn w:val="DefaultParagraphFont"/>
    <w:link w:val="BodyTextIndent"/>
    <w:rsid w:val="00531615"/>
    <w:rPr>
      <w:rFonts w:ascii="Times New Roman" w:eastAsia="Times New Roman" w:hAnsi="Times New Roman" w:cs="Times New Roman"/>
      <w:sz w:val="22"/>
      <w:szCs w:val="16"/>
    </w:rPr>
  </w:style>
  <w:style w:type="character" w:styleId="Hyperlink">
    <w:name w:val="Hyperlink"/>
    <w:rsid w:val="005316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table" w:styleId="TableGrid">
    <w:name w:val="Table Grid"/>
    <w:basedOn w:val="TableNormal"/>
    <w:uiPriority w:val="59"/>
    <w:rsid w:val="00EA1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6F37"/>
    <w:pPr>
      <w:ind w:left="720"/>
      <w:contextualSpacing/>
    </w:pPr>
  </w:style>
  <w:style w:type="paragraph" w:styleId="BodyTextIndent">
    <w:name w:val="Body Text Indent"/>
    <w:basedOn w:val="Normal"/>
    <w:link w:val="BodyTextIndentChar"/>
    <w:rsid w:val="00531615"/>
    <w:pPr>
      <w:autoSpaceDE w:val="0"/>
      <w:autoSpaceDN w:val="0"/>
      <w:adjustRightInd w:val="0"/>
      <w:ind w:left="720" w:hanging="360"/>
    </w:pPr>
    <w:rPr>
      <w:rFonts w:ascii="Times New Roman" w:eastAsia="Times New Roman" w:hAnsi="Times New Roman" w:cs="Times New Roman"/>
      <w:sz w:val="22"/>
      <w:szCs w:val="16"/>
    </w:rPr>
  </w:style>
  <w:style w:type="character" w:customStyle="1" w:styleId="BodyTextIndentChar">
    <w:name w:val="Body Text Indent Char"/>
    <w:basedOn w:val="DefaultParagraphFont"/>
    <w:link w:val="BodyTextIndent"/>
    <w:rsid w:val="00531615"/>
    <w:rPr>
      <w:rFonts w:ascii="Times New Roman" w:eastAsia="Times New Roman" w:hAnsi="Times New Roman" w:cs="Times New Roman"/>
      <w:sz w:val="22"/>
      <w:szCs w:val="16"/>
    </w:rPr>
  </w:style>
  <w:style w:type="character" w:styleId="Hyperlink">
    <w:name w:val="Hyperlink"/>
    <w:rsid w:val="00531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2240">
      <w:bodyDiv w:val="1"/>
      <w:marLeft w:val="60"/>
      <w:marRight w:val="60"/>
      <w:marTop w:val="60"/>
      <w:marBottom w:val="15"/>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bab@portlandmaine.gov"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Alex%20Jaegerman\letterhead_alex_jaeger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B3FE-A2DD-4A6C-BA74-405D3FF2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letterhead_alex_jaegerman</Template>
  <TotalTime>86</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Barbara A. Barhydt</cp:lastModifiedBy>
  <cp:revision>5</cp:revision>
  <cp:lastPrinted>2013-06-17T20:10:00Z</cp:lastPrinted>
  <dcterms:created xsi:type="dcterms:W3CDTF">2014-05-19T16:58:00Z</dcterms:created>
  <dcterms:modified xsi:type="dcterms:W3CDTF">2014-05-20T12:06:00Z</dcterms:modified>
</cp:coreProperties>
</file>